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ATAS/211/2012 vom 23. Februar 2012</w:t>
      </w:r>
    </w:p>
    <w:p>
      <w:r>
        <w:t>GE Cour de justice, 2012-02-23, FR</w:t>
      </w:r>
    </w:p>
    <w:p>
      <w:r>
        <w:rPr>
          <w:b/>
        </w:rPr>
        <w:t xml:space="preserve">Quelle: </w:t>
      </w:r>
      <w:r>
        <w:t>https://mcp.opencaselaw.ch/entscheid/ge_gerichte_ATAS_211_2012</w:t>
      </w:r>
    </w:p>
    <w:p>
      <w:r>
        <w:t>FR: GE_GERICHTE ATAS/211/2012 du 23 février 2012</w:t>
      </w:r>
    </w:p>
    <w:p>
      <w:r>
        <w:t>IT: GE_GERICHTE ATAS/211/2012 del 23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entrée en vigueur le 1er janvier 2003, est applicable.</w:t>
      </w:r>
    </w:p>
    <w:p>
      <w:r>
        <w:rPr>
          <w:b/>
        </w:rPr>
        <w:t>E. 3</w:t>
      </w:r>
    </w:p>
    <w:p>
      <w:r>
        <w:t>Le recours respectant les forme et délai prévus par la loi (art. 56 à 60 LPGA), il y a lieu de le déclarer recevable.</w:t>
      </w:r>
    </w:p>
    <w:p>
      <w:r>
        <w:rPr>
          <w:b/>
        </w:rPr>
        <w:t>E. 4</w:t>
      </w:r>
    </w:p>
    <w:p>
      <w:r>
        <w:t>Le litige porte sur la question de savoir si c'est à juste titre que l'intimé a refusé d'entrer en matière sur la nouvelle demande du recourant.</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w:t>
      </w:r>
    </w:p>
    <w:p>
      <w:r>
        <w:t>A/1889/2011 - 5/7 -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6</w:t>
      </w:r>
    </w:p>
    <w:p>
      <w:r>
        <w:t>En l’espèce, les faits pertinents sont les suivants : − En 2010, lors de la décision de refus de prestations, les diagnostics retenus étaient les suivants : lombosciatlagies bilatérales évoluant depuis 2002 et syndrome sciatique S1 gauche non déficitaire lié à une lipomatose épidurale depuis 2005. Une obésité de grade III et une maladie goutteuse étaient également mentionnées, dont il était cependant précisé qu’elles étaient sans répercussion sur la capacité de travail de l’assuré. − En 2011, date du refus d’entrer en matière, le Dr L__________ a retenu les diagnostics suivants lombosciatalgies S1 droites chroniques sur lipomatose épidurale et hernie discale L5-S1, obésité allant en s’aggravant, syndrome sciatique récidivant à droite et parfois à gauche et crises de goutte répétées, entraînant un syndrome inflammatoire arthritique chronique de la cheville et du pied gauche, très difficile à calmer. La Cour de céans constate que depuis qu’a été rendue la décision initiale de refus de prestations, sont apparus : une hernie discale en L5-S1 et un syndrome inflammatoire arthritique chronique de la cheville et du pied gauche. Qui plus est, le syndrome sciatique s’est déplacé vers la droite, même s’il récidive encore parfois à gauche. Au vu de ce qui précède, force est de constater, au vu de l’apparition de nouveaux diagnostics, qu’une aggravation de l’état de santé de l’assuré a été rendue plausible dont il convient encore d’examiner si elle a des répercussions sur le droit aux prestations de l’intéressé.</w:t>
      </w:r>
    </w:p>
    <w:p>
      <w:r>
        <w:t>A/1889/2011 - 6/7 -</w:t>
      </w:r>
    </w:p>
    <w:p>
      <w:r>
        <w:rPr>
          <w:b/>
        </w:rPr>
        <w:t>E. 7</w:t>
      </w:r>
    </w:p>
    <w:p>
      <w:r>
        <w:t>Eu égard aux considérations qui précèdent, il se justifie d'admettre le recours et de renvoyer la cause à l'OAI, à charge pour ce dernier d'entrer en matière sur la demande de prestations de l'assuré, de procéder aux investigations nécessaires quant aux répercussions sur la capacité de travail de l’assuré et de rendre un jugement au fond.</w:t>
      </w:r>
    </w:p>
    <w:p>
      <w:r>
        <w:rPr>
          <w:b/>
        </w:rPr>
        <w:t>E. 8</w:t>
      </w:r>
    </w:p>
    <w:p>
      <w:r>
        <w:t>Dès lors que le recourant n’est assisté d’aucun mandataire et que la procédure n’a engendré aucun frais particulier pour lui, il n’y a pas lieu de lui octroyer des dépens. Succombant dans la présente procédure, l’intimé sera condamné au versement d’un émolument de 500 fr. (art. 69 al. 1bis LAI).</w:t>
      </w:r>
    </w:p>
    <w:p>
      <w:r>
        <w:t>A/1889/2011 - 7/7 -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