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ATAS/211/2010 vom 2. März 2010</w:t>
      </w:r>
    </w:p>
    <w:p>
      <w:r>
        <w:t>GE Cour de justice, 2010-03-02, FR</w:t>
      </w:r>
    </w:p>
    <w:p>
      <w:r>
        <w:rPr>
          <w:b/>
        </w:rPr>
        <w:t xml:space="preserve">Quelle: </w:t>
      </w:r>
      <w:r>
        <w:t>https://mcp.opencaselaw.ch/entscheid/ge_gerichte_ATAS_211_2010</w:t>
      </w:r>
    </w:p>
    <w:p>
      <w:r>
        <w:t>FR: GE_GERICHTE ATAS/211/2010 du 2 mars 2010</w:t>
      </w:r>
    </w:p>
    <w:p>
      <w:r>
        <w:t>IT: GE_GERICHTE ATAS/211/2010 del 2 marzo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Déposé dans les forme et délai prévus par la loi, le présent recours est recevable (art. 60 LPGA).</w:t>
      </w:r>
    </w:p>
    <w:p>
      <w:r>
        <w:rPr>
          <w:b/>
        </w:rPr>
        <w:t>E. 3</w:t>
      </w:r>
    </w:p>
    <w:p>
      <w:r>
        <w:t>Le litige porte d'une part sur le droit de la Caisse de réclamer aux recourants le paiement d'intérêts moratoires et d'autre part sur la recevabilité de l'opposition relative au statut de ceux-ci en matière AVS.</w:t>
      </w:r>
    </w:p>
    <w:p>
      <w:r>
        <w:rPr>
          <w:b/>
        </w:rPr>
        <w:t>E. 4</w:t>
      </w:r>
    </w:p>
    <w:p>
      <w:r>
        <w:t>Selon l’art. 26 al. 1 LPGA, les créances de cotisations échues sont soumises à la perception d’intérêts moratoires. L'art. 41 bis al. 1 let. f du règlement du 31 octobre 1947 sur l'assurance vieillesse et survivants (RAVS; RS 831.101)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Les intérêts moratoires courent du 1er janvier après la fin de l’année civile suivant l’année de cotisation jusqu’à ce que les cotisations soient intégralement payées (art. 41bis al. 1 let. f et al. 2 RAVS). Quant au taux d’intérêt, l’art. 7 de l’ordonnance du 11 septembre 2002 sur la partie générale du droit des assurances sociales (OPGA; RS 831.11) précise qu’il s’élève</w:t>
      </w:r>
    </w:p>
    <w:p>
      <w:r>
        <w:t>A/4098/2009 - 4/5 -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En l’espèce, les recourants contestent devoir payer des intérêts moratoires dans la mesure où c'est l'administration fiscale qui a tardé à rendre ses décisions de taxation. Il n'est pas contesté qu'aucune faute n'est imputable aux recourants. Le prélèvement d’intérêts moratoires constitue toutefois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On ajoutera enfin qu’eu égard à la jurisprudence constante rappelée supra, la Caisse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w:t>
      </w:r>
    </w:p>
    <w:p>
      <w:r>
        <w:rPr>
          <w:b/>
        </w:rPr>
        <w:t>E. 5</w:t>
      </w:r>
    </w:p>
    <w:p>
      <w:r>
        <w:t>La Caisse a considéré que l'opposition formée par les recourants quant à leur statut était irrecevable faute de décision formelle. Selon l'art. 52 al. 1 LPGA, "les décisions peuvent être attaquées dans les trente jours par voie d’opposition auprès de l’assureur qui les a rendues, à l’exception des décisions d’ordonnancement de la procédure". Or, force est de constater que la Caisse n'a en l'état pas rendu de décision. C'est dès lors à juste titre qu'elle a qualifié l'opposition d'irrecevable. Elle est en revanche invitée à notifier aux recourants une décision sans tarder.</w:t>
      </w:r>
    </w:p>
    <w:p>
      <w:r>
        <w:t>A/4098/2009 - 5/5 -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