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ATAS/210/2015 vom 23. März 2015</w:t>
      </w:r>
    </w:p>
    <w:p>
      <w:r>
        <w:t>GE Cour de justice, 2015-03-23, FR</w:t>
      </w:r>
    </w:p>
    <w:p>
      <w:r>
        <w:rPr>
          <w:b/>
        </w:rPr>
        <w:t xml:space="preserve">Quelle: </w:t>
      </w:r>
      <w:r>
        <w:t>https://mcp.opencaselaw.ch/entscheid/ge_gerichte_ATAS_210_2015</w:t>
      </w:r>
    </w:p>
    <w:p>
      <w:r>
        <w:t>FR: GE_GERICHTE ATAS/210/2015 du 23 mars 2015</w:t>
      </w:r>
    </w:p>
    <w:p>
      <w:r>
        <w:t>IT: GE_GERICHTE ATAS/210/2015 del 23 marzo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t>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w:t>
      </w:r>
    </w:p>
    <w:p>
      <w:r>
        <w:t>A/25/2014 - 7/18 -</w:t>
      </w:r>
    </w:p>
    <w:p>
      <w:r>
        <w:t>En l'espèce, l'objet du litige porte sur une demande de prestations du 31 août 2011, de sorte que sont applicables les modifications de la LAI du 21 mars 2003 (4ème révision), entrées en vigueur le 1er janvier 2004 et celles du 6 octobre 2006 (5ème révision), entrées en vigueur le 1er janvier 2008. En revanche, les modifications de la LAI du 18 mars 2011 (révision 6a), entrées en vigueur le 1er janvier 2012 ne sont applicables au cas d'espèce, que pour les faits survenus postérieurement à cette dernière date.</w:t>
      </w:r>
    </w:p>
    <w:p>
      <w:r>
        <w:rPr>
          <w:b/>
        </w:rPr>
        <w:t>E. 3</w:t>
      </w:r>
    </w:p>
    <w:p>
      <w:r>
        <w:t>Le délai de recours est de 30 jours (art. 60 al. 1 LPGA). Interjeté dans la forme et le délai prévus par la loi, le recours est recevable, en vertu des art. 56ss LPGA.</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t>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t>A/25/2014 - 8/18 -</w:t>
      </w:r>
    </w:p>
    <w:p>
      <w:r>
        <w:t>Cette réglementation n'est toutefois pas applicable dans les cas où le délai d'attente a commencé à courir avant le 1er janvier 2008 (ATF non publié 9C_583/2010 du 22 septembre 2011, consid. 4.1). Dans cette hypothèse et lorsque la demande a été déposée avant le 1er janvier 2009 (cf. Lettre-circulaire n° 300 de l'OFAS du 15 juillet 2011, Droit transitoire: application des délais de péremption), la solution prévue par l’art. 48 al. 2 aLAI continue à s'appliquer. Par conséquent, le droit à la rente prend naissance à la date à laquelle l'assuré a présenté, en moyenne, une incapacité de travail de 40% au moins pendant une année sans interruption notable à condition que le requérant ait déposé sa demande dans les douze mois dès la naissance du droit.</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A/25/2014 - 9/18 -</w:t>
      </w:r>
    </w:p>
    <w:p>
      <w:r>
        <w:t>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f) Une expertise médicale établie sur la base d'un dossier peut avoir valeur probante pour autant que celui-ci contienne suffisamment d'appréciations médicales qui, elles, se fondent sur un examen personnel de l'assuré (cf. RAMA 2001 n° U 438 p. 346 consid. 3d).</w:t>
      </w:r>
    </w:p>
    <w:p>
      <w:r>
        <w:t>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w:t>
      </w:r>
    </w:p>
    <w:p>
      <w:r>
        <w:t>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w:t>
      </w:r>
    </w:p>
    <w:p>
      <w:r>
        <w:t>A/25/2014 - 10/18 -</w:t>
      </w:r>
    </w:p>
    <w:p>
      <w:r>
        <w:t>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non publié 9C_369/2008 du 5 mars 2009, consid. 2.2).</w:t>
      </w:r>
    </w:p>
    <w:p>
      <w:r>
        <w:rPr>
          <w:b/>
        </w:rPr>
        <w:t>E. 7</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w:t>
      </w:r>
    </w:p>
    <w:p>
      <w:r>
        <w:t>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w:t>
      </w:r>
    </w:p>
    <w:p>
      <w:r>
        <w:rPr>
          <w:b/>
        </w:rPr>
        <w:t>E. 8</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A/25/2014 - 11/18 -</w:t>
      </w:r>
    </w:p>
    <w:p>
      <w:r>
        <w:t>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w:t>
      </w:r>
    </w:p>
    <w:p>
      <w:r>
        <w:t>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w:t>
      </w:r>
    </w:p>
    <w:p>
      <w:r>
        <w:t>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w:t>
      </w:r>
    </w:p>
    <w:p>
      <w:r>
        <w:rPr>
          <w:b/>
        </w:rPr>
        <w:t>E. 9</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w:t>
      </w:r>
    </w:p>
    <w:p>
      <w:r>
        <w:t>A/25/2014 - 12/18 -</w:t>
      </w:r>
    </w:p>
    <w:p>
      <w:r>
        <w:t>(méthode générale de comparaison des revenus; ATF 128 V 29 consid. 1, 104 V 135 consid. 2a et 2b).</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t>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w:t>
      </w:r>
    </w:p>
    <w:p>
      <w:r>
        <w:t>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w:t>
      </w:r>
    </w:p>
    <w:p>
      <w:r>
        <w:t>La mesure dans laquelle les salaires ressortant des statistiques doivent être réduits, dépend de l'ensemble des circonstances personnelles et professionnelles du cas</w:t>
      </w:r>
    </w:p>
    <w:p>
      <w:r>
        <w:t>A/25/2014 - 13/18 -</w:t>
      </w:r>
    </w:p>
    <w:p>
      <w:r>
        <w:t>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Toutefois, dans certains domaines d'activités dans lesquels les postes à temps partiel sont répandus et répondent à un besoin de la part des employeurs, comme celui d'employée de bureau, le critère du taux d'occupation n'a guère d'importance (ATF du 30 avril 2012 9C 751/2011).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w:t>
      </w:r>
    </w:p>
    <w:p>
      <w:r>
        <w:t>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(ATF non publié 9C_279/2008 du 16 décembre 2008, consid. 4).</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w:t>
      </w:r>
    </w:p>
    <w:p>
      <w:r>
        <w:t>A/25/2014 - 14/18 -</w:t>
      </w:r>
    </w:p>
    <w:p>
      <w:r>
        <w:t>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w:t>
      </w:r>
    </w:p>
    <w:p>
      <w:r>
        <w:t>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(ATF non publié 9C_1066/2009 du 22 septembre 2010 consid. 4.1 et la référence).</w:t>
      </w:r>
    </w:p>
    <w:p>
      <w:r>
        <w:t>d)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(ATFA non publiés I 43/05 du 30 juin 2006, consid. 5.2 et I 1/03 du 15 avril 2003, consid. 5.2).</w:t>
      </w:r>
    </w:p>
    <w:p>
      <w:r>
        <w:t>e)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rPr>
          <w:b/>
        </w:rPr>
        <w:t>E. 10</w:t>
      </w:r>
    </w:p>
    <w:p>
      <w:r>
        <w:t>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non publié 9C_1043/2008 du 2 juillet 2009, consid. 3.2).</w:t>
      </w:r>
    </w:p>
    <w:p>
      <w:r>
        <w:t>A titre d’exemples, le Tribunal fédéral a considéré qu’il était exigible d’un assuré de 60 ans ayant travaillé pour l’essentiel en tant qu’ouvrier dans l’industrie textile qu’il se réinsère sur le marché du travail malgré son âge et ses limitations</w:t>
      </w:r>
    </w:p>
    <w:p>
      <w:r>
        <w:t>A/25/2014 - 15/18 -</w:t>
      </w:r>
    </w:p>
    <w:p>
      <w:r>
        <w:t>fonctionnelles (travaux légers et moyens avec alternance des positions dans des locaux fermés ; ATFA non publié I 376/05 du 5 août 2005, consid. 4.2), de même que pour un soudeur de 60 ans avec des limitations psychiques et physiques, notamment rhumatologiques et cardiaques, qui disposait d’une capacité de travail de 70 % (ATFA non publié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(ATFA non publié I 392/02 du 23 octobre 2003, consid. 3.3), ainsi que dans le cas d’un assuré de 64 ans capable de travailler à 50 % avec de nombreuses limitations fonctionnelles (ATFA non publié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(ATF non publié 9C_578/2009 du 29 décembre 2009, consid. 4.3.2).</w:t>
      </w:r>
    </w:p>
    <w:p>
      <w:r>
        <w:rPr>
          <w:b/>
        </w:rPr>
        <w:t>E. 11</w:t>
      </w:r>
    </w:p>
    <w:p>
      <w:r>
        <w:t>La chambre de céans a ordonné, le 14 avril 2014, une expertise neurologique en considérant ce qui suit : L’expertise du Dr G______ conclut à une incapacité de travail totale du recourant dans l’activité précédente de serveur et à une capacité de travail totale dans une activité adaptée aux limitations fonctionnelles, soit une activité en position assise, avec peu de charges. Comme relevé par le recourant, l’appréciation de la capacité de travail totale dans une activité assise et légère semble avoir été principalement effectuée suite au constat que le recourant avait pu assumer un tel travail lors de son emploi pour B______ en 2010 (expertise p. 13). Or, cette activité a été mise en place dans le cadre du chômage, antérieurement à l’incapacité de travail attestée par le médecin- traitant depuis le 1er septembre 2011 et, de surcroît, non pas dans les conditions du marché économique normal du travail mais selon le programme d’emploi et de formation de l’OCE du 23 novembre 2010, en vue de définir la capacité de travail de l’assuré, évaluer son potentiel d’apprentissage, participer aux formations de base et pratiquer le français. Il apparaît ainsi que l’expert n’a pas précisément évalué la capacité de travail du recourant au vu des limitations fonctionnelles retenues. A cet égard, l’expert se limite, dans ses conclusions, à proscrire un travail debout et le port de charges alors qu’il retient, dans l’appréciation du cas, la réalité des plaintes du recourant qu’il considère en adéquation avec les anomalies objectives cliniques, électrophysiologiques et radiologiques (expertise p. 11).</w:t>
      </w:r>
    </w:p>
    <w:p>
      <w:r>
        <w:t>A/25/2014 - 16/18 - L’expert a ainsi relevé que le recourant se plaignait de douleurs aux membres inférieurs et supérieurs, de douleurs cervicales et lombaires et dans les pieds, de sensations de tremblements et de manque de force aux membres supérieurs, de difficulté à tenir les bras en hauteur, de brachialgies, de paresthésies à type de fourmillements dans les mains et de sentiment de faiblesse et de lâchage du membre inférieur droit (expertise pp 5, 9 et 10). Or, toutes ces plaintes ont été jugées vraisemblables par l’expert et objectivées, selon lui, par l’examen clinique et les examens radiologiques, alors même que les limitations fonctionnelles finalement retenues ne comprennent pas, sans explication, celles liées aux douleurs, au peu de force, aux tremblements et aux paresthésies des membres, pourtant attestées par l’expert. Par ailleurs, le diagnostic posé au point VIII.1 a été jugé comme sans répercussion sur la capacité de travail au point VIII.2, ce qui n’est pas cohérent avec les limitations fonctionnelles finalement retenues et la constatation d’une incapacité de travail totale dans l’ancienne activité (expertise p. 11). Enfin, le syndrome des jambes sans repos diagnostiqué par la Dresse D______, n’a pas été discuté du tout, sans explication.</w:t>
      </w:r>
    </w:p>
    <w:p>
      <w:r>
        <w:rPr>
          <w:b/>
        </w:rPr>
        <w:t>E. 12</w:t>
      </w:r>
    </w:p>
    <w:p>
      <w:r>
        <w:t>Le Dr I______ a rendu son rapport d'expertise le 27 décembre 2014. Celui-ci est fondé sur toutes les pièces du dossier, sur un examen du recourant et sur des examens complémentaires; il comporte une description précise des affections dont souffre le recourant, relate les plaintes de celui-ci et se prononce sur les autres avis médicaux au dossier. Il répond en conséquence aux critères précités pour qu'il lui soit reconnu une pleine valeur probante, ce que les parties admettent. L'OAI s'écarte cependant de l'estimation de la capacité de travail appréciée par l'expert, entre 2011 et le jour de l'expertise, au motif qu'aucun argument médical convaincant n'a été fourni pour s'écarter de l'évaluation faite par le Dr G______ en 2013, de sorte qu'au jour de la décision litigieuse, le recourant ne présentait pas encore d'incapacité de travail totale. Cette argumentation ne saurait être suivie. En effet, comme la chambre de céans l'a relevé dans l'ordonnance d'expertise, l'évaluation d'une capacité de travail totale du recourant par le Dr G______ n'était pas probante, pour les raisons exposées ci- dessus. En revanche, l'expert I______ a procédé à une évaluation minutieuse et fondée sur une prise en compte objective de la situation du recourant; il a, en particulier, analysé le contexte dans lequel l'assuré avait travaillé pour B______, et souligné que le rendement n'était, déjà à cette époque, pas complet; même si l'expert a relevé qu'une évaluation rétrospective de la capacité de travail n'était pas facile, il a jugé qu'il disposait de suffisamment d'éléments objectifs pour la fixer, et cela à tout le moins depuis fin 2011, date à laquelle il a retenu une capacité de travail limitée à 20-30%; il a, en particulier, retenu qu'il était probable que la décompensation</w:t>
      </w:r>
    </w:p>
    <w:p>
      <w:r>
        <w:t>A/25/2014 - 17/18 - fonctionnelle progressive de la moelle dorsale sur hernie transdurale était déjà acquise au 1er mars 2012. Il convient ainsi de prendre comme point de départ une incapacité de travail de 75% (soit la moyenne de la capacité résiduelle évaluée par l'expert entre 20 et 30%), laquelle est documentée par l'expert depuis fin 2011. Compte tenu de ce qui précède, il est établi que le recourant était en incapacité de travail de 75% depuis fin 2011, puis de 100% depuis le 1er mars 2012. En conséquence, une année après le début de l'incapacité de travail, soit au 1er janvier 2013, le recourant présentait une incapacité de travail totale de longue durée, de sorte qu'il a droit, dès cette date, et non pas dès le 1er mars 2012, comme réclamé par le recourant, à une rente entière de l'assurance-invalidité.</w:t>
      </w:r>
    </w:p>
    <w:p>
      <w:r>
        <w:rPr>
          <w:b/>
        </w:rPr>
        <w:t>E. 13</w:t>
      </w:r>
    </w:p>
    <w:p>
      <w:r>
        <w:t>Partant, le recours sera partiellement admis, la décision litigieuse annulée et il sera dit que le recourant a droit à une rente entière de l'assurance-invalidité depuis le 1er janvier 2013. Le recourant, qui obtient en grande partie gain de cause, a droit à des dépens qui seront fixés à CHF 4'000.- (art. 61 let. g LPGA). La procédure en matière d’assurance-invalidité n'étant pas gratuite (art. 69 al. 1bis LAI), l’intimé sera condamné au paiement d’un émolument de CHF 1'000.-.</w:t>
      </w:r>
    </w:p>
    <w:p>
      <w:r>
        <w:t>A/25/2014 - 18/18 -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