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ATAS/210/2014 vom 18. Februar 2014</w:t>
      </w:r>
    </w:p>
    <w:p>
      <w:r>
        <w:t>GE Cour de justice, 2014-02-18, FR</w:t>
      </w:r>
    </w:p>
    <w:p>
      <w:r>
        <w:rPr>
          <w:b/>
        </w:rPr>
        <w:t xml:space="preserve">Quelle: </w:t>
      </w:r>
      <w:r>
        <w:t>https://mcp.opencaselaw.ch/entscheid/ge_gerichte_ATAS_210_2014</w:t>
      </w:r>
    </w:p>
    <w:p>
      <w:r>
        <w:t>FR: GE_GERICHTE ATAS/210/2014 du 18 février 2014</w:t>
      </w:r>
    </w:p>
    <w:p>
      <w:r>
        <w:t>IT: GE_GERICHTE ATAS/210/2014 del 18 febbraio 2014</w:t>
      </w:r>
    </w:p>
    <w:p>
      <w:pPr>
        <w:pStyle w:val="Heading2"/>
      </w:pPr>
      <w:r>
        <w:t>Erwägungen</w:t>
      </w:r>
    </w:p>
    <w:p>
      <w:r>
        <w:rPr>
          <w:b/>
        </w:rPr>
        <w:t>E. 1</w:t>
      </w:r>
    </w:p>
    <w:p>
      <w:r>
        <w:t>Se déclare incompétente ratione materiae pour juger du recours interjeté par Madame R___________ contre la décision sur opposition rendue par le SPC le 4 juillet 2011.</w:t>
      </w:r>
    </w:p>
    <w:p>
      <w:r>
        <w:rPr>
          <w:b/>
        </w:rPr>
        <w:t>E. 2</w:t>
      </w:r>
    </w:p>
    <w:p>
      <w:r>
        <w:t>Transmet la cause à la Chambre administrative comme objet de sa compétence.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