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ATAS/20/2024 vom 16. Januar 2024</w:t>
      </w:r>
    </w:p>
    <w:p>
      <w:r>
        <w:t>GE Cour de justice, 2024-01-16, FR</w:t>
      </w:r>
    </w:p>
    <w:p>
      <w:r>
        <w:rPr>
          <w:b/>
        </w:rPr>
        <w:t xml:space="preserve">Quelle: </w:t>
      </w:r>
      <w:r>
        <w:t>https://mcp.opencaselaw.ch/entscheid/ge_gerichte_ATAS_20_2024</w:t>
      </w:r>
    </w:p>
    <w:p>
      <w:r>
        <w:t>FR: GE_GERICHTE ATAS/20/2024 du 16 janvier 2024</w:t>
      </w:r>
    </w:p>
    <w:p>
      <w:r>
        <w:t>IT: GE_GERICHTE ATAS/20/2024 del 16 gennaio 2024</w:t>
      </w:r>
    </w:p>
    <w:p>
      <w:pPr>
        <w:pStyle w:val="Heading2"/>
      </w:pPr>
      <w:r>
        <w:t>Erwägungen</w:t>
      </w:r>
    </w:p>
    <w:p>
      <w:r>
        <w:rPr>
          <w:b/>
        </w:rPr>
        <w:t>E. 27</w:t>
      </w:r>
    </w:p>
    <w:p>
      <w:r>
        <w:t>mars 2013 consid. 7) ; qu’il suffit que la motivation du recours laisse apparaître les raisons pour lesquelles les faits constatés ou les dispositions appliquées par l'autorité inférieure sont contestés (Ueli KIESER, ATSG-Kommentar, 3e éd. 2015, p. 811 n. 79) ; Qu’en l’occurrence, le recours ne comporte aucune motivation quant au fond du litige, se limitant à solliciter de la chambre de céans que le calcul des 30 jours avec l’OCAS soit revu « pour qu’ils puissent accepter mon recours pour le refus de la rente AI » ; Qu’un délai a été fixé à l’assuré pour motiver son recours ;</w:t>
      </w:r>
    </w:p>
    <w:p>
      <w:r>
        <w:t>A/3846/2023 - 3/4 - Que faute de motivation, le recours est irrecevable ; Que la procédure est gratuite.</w:t>
      </w:r>
    </w:p>
    <w:p>
      <w:r>
        <w:t>A/3846/2023 - 4/4 - PAR CES MOTIFS, LA CHAMBRE DES ASSURANCES SOCIALES : Statuant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