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ATAS/20/2022 vom 18. Januar 2022</w:t>
      </w:r>
    </w:p>
    <w:p>
      <w:r>
        <w:t>GE Cour de justice, 2022-01-18, FR</w:t>
      </w:r>
    </w:p>
    <w:p>
      <w:r>
        <w:rPr>
          <w:b/>
        </w:rPr>
        <w:t xml:space="preserve">Quelle: </w:t>
      </w:r>
      <w:r>
        <w:t>https://mcp.opencaselaw.ch/entscheid/ge_gerichte_ATAS_20_2022</w:t>
      </w:r>
    </w:p>
    <w:p>
      <w:r>
        <w:t>FR: GE_GERICHTE ATAS/20/2022 du 18 janvier 2022</w:t>
      </w:r>
    </w:p>
    <w:p>
      <w:r>
        <w:t>IT: GE_GERICHTE ATAS/20/2022 del 18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Interjeté dans la forme et le délai prévus par la loi, le recours est recevable (art. 56 ss LPGA).</w:t>
      </w:r>
    </w:p>
    <w:p>
      <w:r>
        <w:rPr>
          <w:b/>
        </w:rPr>
        <w:t>E. 3</w:t>
      </w:r>
    </w:p>
    <w:p>
      <w:r>
        <w:t>Le litige porte sur le bien-fondé de la suspension de 23 jours du droit aux indemnités infligée par la caisse à l’assurée pour avoir démissionné de son poste de travail sans s'être préalablement assurée d'un autre emploi.</w:t>
      </w:r>
    </w:p>
    <w:p>
      <w:r>
        <w:rPr>
          <w:b/>
        </w:rPr>
        <w:t>E. 4</w:t>
      </w:r>
    </w:p>
    <w:p>
      <w:r>
        <w:t>Lors de l’audience de comparution personnelle des parties le 11 janvier 2022, la caisse a proposé l’admission du recours. Il convient d’en prendre acte. Il se justifie dans ces conditions d’admettre le recours et d’annuler la décision litigieuse.</w:t>
      </w:r>
    </w:p>
    <w:p>
      <w:r>
        <w:t>A/2730/2021 - 4/4 -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