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ATAS/20/2020 vom 15. Januar 2020</w:t>
      </w:r>
    </w:p>
    <w:p>
      <w:r>
        <w:t>GE Cour de justice, 2020-01-15, FR</w:t>
      </w:r>
    </w:p>
    <w:p>
      <w:r>
        <w:rPr>
          <w:b/>
        </w:rPr>
        <w:t xml:space="preserve">Quelle: </w:t>
      </w:r>
      <w:r>
        <w:t>https://mcp.opencaselaw.ch/entscheid/ge_gerichte_ATAS_20_2020</w:t>
      </w:r>
    </w:p>
    <w:p>
      <w:r>
        <w:t>FR: GE_GERICHTE ATAS/20/2020 du 15 janvier 2020</w:t>
      </w:r>
    </w:p>
    <w:p>
      <w:r>
        <w:t>IT: GE_GERICHTE ATAS/20/2020 del 15 gennaio 2020</w:t>
      </w:r>
    </w:p>
    <w:p>
      <w:pPr>
        <w:pStyle w:val="Heading2"/>
      </w:pPr>
      <w:r>
        <w:t>Erwägungen</w:t>
      </w:r>
    </w:p>
    <w:p>
      <w:r>
        <w:rPr>
          <w:b/>
        </w:rPr>
        <w:t>E. 46</w:t>
      </w:r>
    </w:p>
    <w:p>
      <w:r>
        <w:t>Par réplique du 25 avril 2019, la recourante a relevé que la Bâloise s’était fondée notamment sur des rapports médicaux du Dr K______, mais qu’aucune pièce médicale rédigée par celui-ci ne figurait dans le dossier que la Bâloise avait transmis à la recourante le 13 octobre 2017. Or, les rapports médicaux du Dr K______ étaient utiles, dans la mesure où ils retenaient que les troubles persistants et douloureux d’origine musculaire de la recourante étaient en lien de causalité avec l’accident (pièce 65 intimée). Contrairement à ce que faisait valoir l’intimée, le déroulement de l’accident décrit par le Prof. W______ était fondé sur les pièces du dossier médical de la recourante, en particulier les rapports des Drs J______ et I______. Les griefs développés par l’intimée contre le rapport du Prof. Z_____ devaient être écartés. Ce dernier avait développé la validité de sa thèse sur quatre pages et avait produit des pièces et des références de littérature médicale à l’appui de ses conclusions. Il avait expliqué pourquoi les diagnostics posés par ses prédécesseurs ne pouvaient pas être exacts et que le type de lésion n’était pas d’origine dégénérative, mais accidentelle. En conséquence, la recourante persistait dans ses conclusions.</w:t>
      </w:r>
    </w:p>
    <w:p>
      <w:r>
        <w:rPr>
          <w:b/>
        </w:rPr>
        <w:t>E. 47</w:t>
      </w:r>
    </w:p>
    <w:p>
      <w:r>
        <w:t>Par duplique du 17 mai 2019, l’intimée a également persisté dans ses conclusions du 2 avril 2019.</w:t>
      </w:r>
    </w:p>
    <w:p>
      <w:r>
        <w:rPr>
          <w:b/>
        </w:rPr>
        <w:t>E. 48</w:t>
      </w:r>
    </w:p>
    <w:p>
      <w:r>
        <w:t>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En vertu de l’art. 58 al. 2 phr. 1 LPGA, si l'assuré ou une autre partie sont domiciliés à l'étranger, le tribunal des assurances compétent est celui du canton de leur dernier domicile en Suisse ou celui du canton de domicile de leur dernier employeur suisse. En l’espèce, la recourante est domicilié en France et travaille pour un employeur sis dans le canton de Genève. Sa contestation porte sur une question relative à la LAA. La chambre de céans est par conséquent compétente à raison du lieu et de la matière pour juger du cas d’espèce.</w:t>
      </w:r>
    </w:p>
    <w:p>
      <w:r>
        <w:t>A/426/2019 - 19/27 - 2.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3. Interjeté dans la forme et le délai prévus par la loi, compte tenu de la suspension des délais pendant la période du 18 décembre au 2 janvier inclusivement (art. 38 al. 4 let. c LPGA et art. 89C let. c LPA), le recours est recevable (art. 56 ss LPGA et 62 ss LPA). 4. Le litige porte sur le droit de la recourante aux prestations de l’intimée au-delà du 31 décembre 2016.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t>A/426/2019 - 20/27 -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6.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7. Les lésions énumérées à l’art. 9 al. 2 OLAA, en vigueur jusqu’au 31 décembre 2016, seront assimilées à un accident aussi longtemps que leur origine maladive ou dégénérative, à l’exclusion d’une origine accidentelle, ne peut être tenue pour manifeste. On ne se fondera donc pas simplement sur le degré de vraisemblance prépondérante pour admettre l'évolution d'une telle atteinte vers un statu quo sine.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w:t>
      </w:r>
    </w:p>
    <w:p>
      <w:r>
        <w:t>A/426/2019 - 21/27 - la difficulté de distinguer entre l’origine dégénérative ou accidentelle de ces lésions (arrêt du Tribunal fédéral 8C_110/20165 du 16 novembre 2016 consid. 6.2 et arrêt du Tribunal fédéral des assurances U 162/2006 du 10 avril 2004 consid. 4.2).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t>A/426/2019 - 22/27 -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A/426/2019 - 23/27 - pertinents pour remettre en cause les conclusions de l'expert (arrêt du Tribunal fédéral 9C_751/2010 du 20 juin 2011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w:t>
      </w:r>
    </w:p>
    <w:p>
      <w:r>
        <w:t>A/426/2019 - 24/27 - ne jouent plus de rôle et doivent ainsi être considérées comme ayant disparu (arrêt du Tribunal fédéral 8C_441/2017 du 6 juin 2018 consid. 3.3). 12.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a. En l’espèce, le rapport d’expertise du Dr O______ est fondé sur un examen de l’assurée, l’ensemble du dossier médical et d’imagerie, il contient une anamnèse, les plaintes de l’expertisée et répond clairement et de façon motivée aux questions</w:t>
      </w:r>
    </w:p>
    <w:p>
      <w:r>
        <w:t>A/426/2019 - 25/27 - posées. Le fait que le Dr O______ n’ait pas revu la recourante pour ses compléments d’expertise n’apparaît pas critiquable, dès lors qu’il lui était demandé de prendre position sur les rapports médicaux produits par celle-ci. Si, comme l’a relevé la recourante, le Dr O______ s’est prononcé sur un dossier incomplet le 17 octobre 2017, puisqu’il ne disposait pas du rapport du Dr S______ et ignorait de ce fait l’évolution de l’assurée suite à son opération, cela a été corrigé par son rapport du 15 mai 2018, dès lors qu’il avait entretemps reçu un rapport médical du Dr S______ du 13 décembre 2017 et qu’il s’est conséquence à nouveau prononcé sur la base d’un dossier complet. S’agissant de l’absence d’information, relevée dans ce même rapport, sur le plâtre que portait l’assurée lors de l’examen neurologique de novembre 2017, au membre supérieur gauche contro-latéral, cela ne remet pas en cause les conclusions du Dr O______, qui portaient sur le lien de causalité entre l’accident du 15 février 2015 et l’état de l’épaule et de l’omoplate droites. La valeur probante de l’expertise du Dr O______ est toutefois sérieusement remise en cause par le fait qu’il a mentionné, sous l’anamnèse, que suite à l’accident du 15 février 2015, l’assurée avait ressenti une douleur qu’elle situait au niveau de l’omoplate droite sans douleur latérale et antérieure de l’épaule droite et sans douleur au niveau de la nuque. Or, cela ne correspond pas aux déclarations faites par l’assurée à la Bâloise le 15 février 2015, dans lesquelles elle avait indiqué avoir ressenti une douleur immédiate au niveau de la nuque irradiant l’épaule et l’omoplate du côté droit. L’on peut s’étonner que l’expert n’ait pas relevé cette contradiction sur un élément déterminant, à savoir le déroulement de l’accident, ce d’autant plus que le Dr L______ avait également mentionné, le 19 mai 2015, que l’assurée avait eu un mouvement d’extension des épaules avec un léger coup du lapin. b. Le rapport d’expertise du Prof. W______ du 28 janvier 2019 est fondé sur le dossier remis par l’assurée, une anamnèse et un examen clinique et contient un résumé chronologique du dossier. L’analyse du Prof. W______ est convaincante et le diagnostic qu’il a posé est fondé sur ses observations cliniques, qui sont corroborées par celles faites par le Dr S______, lors des deux arthroscopies auxquelles celui-ci a procédé. Ses conclusions, selon lesquelles l’assurée avait subi une force de traction importante et soudaine sur son épaule droite qui excédait sans aucun doute ce qu’une épaule normale pouvait supporter sans qu’il n’y ait des lésions organiques associées, correspondent au déroulement des faits tel que relaté par la recourante et aux constats généraux faits en milieu hospitalier, selon la littérature citée. L’intimée a fait valoir que les conclusions du prof. W______ étaient sujettes à caution car, pour appuyer sa thèse, il avait dramatisé l’accident survenu le 15 février 2015, en retenant que l’assurée avait subi une forte traction à l’épaule droite ainsi qu’un coup du lapin à la colonne cervicale, alors qu’en réalité la</w:t>
      </w:r>
    </w:p>
    <w:p>
      <w:r>
        <w:t>A/426/2019 - 26/27 - recourante n’avait aucunement subi une forte traction de l’épaule droite ni une quelconque « coup du lapin ». Cet argument est contredit par le rapport établi par le Dr O______ le 13 juillet 2016, dans lequel celui-ci mentionnait, sous anamnèse, que le jour de l’accident, le lit que tirait l’assurée s’était immobilisé brutalement en arrachant une poignée de la porte et que ses membres supérieurs avaient de ce fait subi une brusque traction en avant. Il est également contredit pas le rapport du Dr L______ du 19 mai 2015, qui mentionnait que le lit que l’assurée tirait s’était coincé en la bloquant d’un coup, ce qui avait entraîné un mouvement d’extension des épaules avec un léger coup du lapin. Il ne peut donc être retenu que le Prof. W______ aurait dramatisé l’accident. Les conclusions du Prof. W______ sont en outre corroborées par le rapport établi par le Dr R______, le 22 février 2017, lequel considérait, après s’être repenché sur l’anamnèse et le dossier radiologique de l’assurée, que le mécanisme décrit par celle-ci était vulnérant et apte à engendrer une lésion de son labrum, qui avait ensuite engendré la formation d’un kyste. Il lui apparaissait donc logique que la Bâloise continue à la couvrir pour les suites de l’accident. En conclusion, le rapport du Prof. W______ doit se voir reconnaître une force probante plus élevée que les rapports du Dr O______. Ces derniers ne suffisent dès lors pas à établir que l’atteinte à la santé de la recourante n’était plus en rapport de causalité naturelle avec l’événement du 15 février 2015 au-delà du 31 décembre 2016. Dans la mesure où le fardeau de la preuve appartient à l’intimée dans le contexte de la suppression du droit à des prestations, sa décision de cesser la prise en charge des suites de l’accident au-delà du 31 décembre 2016 est par conséquence infondée et doit être annulée. 14. Le recours est ainsi admis. 15. La recourante obtenant gain de cause, une indemnité de CHF 2'000.- lui sera accordée à titre de participation à ses frais et dépens, à la charge de l’intimée (art. 61 let. g LPGA; art. 6 du règlement sur les frais, émoluments et indemnités en matière administrative du 30 juillet 1986 [RFPA - E 5 10.03]). 16. Pour le surplus, la procédure est gratuite (art. 61 let. a LPGA).</w:t>
      </w:r>
    </w:p>
    <w:p>
      <w:r>
        <w:t>A/426/2019 - 27/27 -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