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ATAS/209/2020 vom 12. März 2020</w:t>
      </w:r>
    </w:p>
    <w:p>
      <w:r>
        <w:t>GE Cour de justice, 2020-03-12, FR</w:t>
      </w:r>
    </w:p>
    <w:p>
      <w:r>
        <w:rPr>
          <w:b/>
        </w:rPr>
        <w:t xml:space="preserve">Quelle: </w:t>
      </w:r>
      <w:r>
        <w:t>https://mcp.opencaselaw.ch/entscheid/ge_gerichte_ATAS_209_2020</w:t>
      </w:r>
    </w:p>
    <w:p>
      <w:r>
        <w:t>FR: GE_GERICHTE ATAS/209/2020 du 12 mars 2020</w:t>
      </w:r>
    </w:p>
    <w:p>
      <w:r>
        <w:t>IT: GE_GERICHTE ATAS/209/2020 del 12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- 4/5-</w:t>
      </w:r>
    </w:p>
    <w:p>
      <w:r>
        <w:t>A/4570/2019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l'espèce, il n'est pas contesté que le recours a été interjeté après le délai de 30 jours dès sa réception, la décision – non réclamée - étant datée du 8 novembre 2018 et le recourant ayant posté son recours en date du 11 décembre 2019.</w:t>
      </w:r>
    </w:p>
    <w:p>
      <w:r>
        <w:rPr>
          <w:b/>
        </w:rPr>
        <w:t>E. 4</w:t>
      </w:r>
    </w:p>
    <w:p>
      <w:r>
        <w:t>Reste à examiner si une restitution de délai peut être accordée. Tel peut être le cas, de manière exceptionnelle, à condition que le requérant ait été empêché, sans sa faute, d’agir dans le délai fixé (art. 41 al. 1 LPGA / art. 16 LPA)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aucun indice ne permet de considérer que le recourant a été empêché sans sa faute d’agir dans le délai fixé, ce dernier n’ayant pas même répondu à la demande expresse de la chambre de céans. En l'absence de motif valable de restitution de délai, le recours doit être déclaré irrecevable pour cause de tardiveté. * * * * *</w:t>
      </w:r>
    </w:p>
    <w:p>
      <w:r>
        <w:t>- 5/5-</w:t>
      </w:r>
    </w:p>
    <w:p>
      <w:r>
        <w:t>A/4570/2019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