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ATAS/209/2018 vom 9. März 2018</w:t>
      </w:r>
    </w:p>
    <w:p>
      <w:r>
        <w:t>GE Cour de justice, 2018-03-09, FR</w:t>
      </w:r>
    </w:p>
    <w:p>
      <w:r>
        <w:rPr>
          <w:b/>
        </w:rPr>
        <w:t xml:space="preserve">Quelle: </w:t>
      </w:r>
      <w:r>
        <w:t>https://mcp.opencaselaw.ch/entscheid/ge_gerichte_ATAS_209_2018</w:t>
      </w:r>
    </w:p>
    <w:p>
      <w:r>
        <w:t>FR: GE_GERICHTE ATAS/209/2018 du 9 mars 2018</w:t>
      </w:r>
    </w:p>
    <w:p>
      <w:r>
        <w:t>IT: GE_GERICHTE ATAS/209/2018 del 9 marzo 2018</w:t>
      </w:r>
    </w:p>
    <w:p>
      <w:pPr>
        <w:pStyle w:val="Heading2"/>
      </w:pPr>
      <w:r>
        <w:t>Erwägungen</w:t>
      </w:r>
    </w:p>
    <w:p>
      <w:r>
        <w:rPr>
          <w:b/>
        </w:rPr>
        <w:t>E. 16</w:t>
      </w:r>
    </w:p>
    <w:p>
      <w:r>
        <w:t>a. Au vu de ce qui précède, il sied de constater que, même en tenant compte que l'établissement du dossier a été effectué le week-end, il ressort de l'agenda 2013 de la défenderesse et du décompte de Curabill qu'elle a facturé plus d'heures que celles découlant de l'agenda. La différence en pourcent entre les consultations selon l'agenda et celles facturées, relevée par l'expertise de Velke GmbH, est de 5,69%. Les prestations facturées par la défenderesse ne peuvent ainsi pas être justifiées à concurrence de pourcentage et sont par conséquent sujettes à restitution. Selon les statistiques 2013, le chiffre d'affaires de la défenderesse était de CHF 755'184. Toutefois, la défenderesse a également facturé sous son RCC les honoraires de l'art-thérapeute d'un montant de CHF 46'639.27. Selon les chiffres fournis par Curabill, le chiffre d'affaires de la défenderesse s'élève avec celui de l'art-thérapeute à CHF 776'146.90 (CHF 729'507.63 + CHF 46'639.27), si bien que CHF 46'639.27 représentent 6% de ce chiffre cumulé. Partant, il faut également déduire 6% du chiffre d'affaires statistique de CHF 755'184 pour obtenir celui lié aux activités de la seule défenderesse, lequel s'établit ainsi à CHF 709'872.96. 5,69% de cette somme représentent CHF 40'391.77 que la défenderesse est ainsi tenue de restituer. b. Concernant la surfacturation de 15 minutes par consultation, il résulte du planning de 2013 de la défenderesse qu’elle a donné en cette année 3758 consultations, selon le relevé établi par les demanderesses. Le nombre des consultations est de 3747 selon l'expertise de Velke GmbH. Cependant, il y a lieu de se fonder sur les statistiques RSS 2013, afin de ne pas fausser la comparaison d'une année à l'autre sur la base des statistiques. Celles-ci sont de surcroît plus favorables à la défenderesse, dès lors qu'elles ne mentionnent que 3259 consultations en 2013. Dans ces consultations sont comprises également celles de l'art-thérapeute. Selon les chiffres fournis par Ctésias SA (pièce 3 défenderesse), sur 4035 consultations, l'art-thérapeute en a donné 311, ce qui représente 7,7%. Cela étant, il y a lieu de diminuer le nombre des consultations attribuées à la défenderesse de ce pourcentage, si bien que les consultations déterminantes sont de 3008,5. Dès lors la défenderesse est déjà tenue de rembourser la somme de CHF 40'391.77 à titre de prestations facturées sans preuve du traitement effectivement réalisé, soit 5,69% de celles-ci, il sied de tenir compte uniquement du nombre des consultations diminué de ce pourcentage, soit de 2'837.31 consultations. Cela étant, le total des prestations indûment perçues en raison de la surfacturation de 15 minutes s’élève à CHF 146'433.56 (2'837.31 consultations x 15 minutes/60 minutes x CHF 206.44). c. Partant, une surfacturation peut être établie pour la somme de CHF 186'825.33 (CHF 146'433.56 + CHF 40'391.77) en chiffres ronds.</w:t>
      </w:r>
    </w:p>
    <w:p>
      <w:r>
        <w:t>A/2320/2015 - 32/35 -</w:t>
      </w:r>
    </w:p>
    <w:p>
      <w:r>
        <w:rPr>
          <w:b/>
        </w:rPr>
        <w:t>E. 17</w:t>
      </w:r>
    </w:p>
    <w:p>
      <w:r>
        <w:t>a. La somme de surfacturation de CHF 186'825.33 est inférieure à la somme CHF 229'507.63 réclamée par les demanderesses. Reste donc à examiner si cette différence de CHF 42'682.30 est aussi constitutive d'une polypragmasie. b. A cet égard, il y a lieu de relever qu'en se fondant sur un chiffre d'affaires statistique de CHF 709'872.96 pour 3008.5 consultations selon ces mêmes statistiques, comme établis ci-dessus, le coût par consultation s'élève à CHF 235.95, ce qui représente plus d'une heure en moyenne, alors même que la défenderesse facture généralement CHF 189.23 pour 55 minutes. La différence est de 19,8% et dépasse ainsi les 5,69% qui ne sont pas justifiés selon les calculs de l'expertise de Velke GmbH. Or, 19,8% de CHF 709'872.96 représentent CHF 140'554.84. Ainsi, la somme de CHF 40'391.77 établie à titre de prestations non justifiées paraît trop basse. Cela semble également être étayé par les irrégularités de facturation relevées par les demanderesses, en particulier pour certains jours et concernant la patiente H______., que la défenderesse n'a pas su justifier. A cela s'ajoute que ses consultations durent parfois bien moins que 40 minutes, lorsque plus que deux patients sont convoqués dans un laps de temps de 80 minutes, comme cela ressort de l'agenda. Toutefois, il y a une grande différence entre le nombre de consultations figurant dans les statistiques RSS (3008,5 pour la seule activité de la défenderesse, selon les calculs du Tribunal), d'une part, et celui ressortant de l'expertise Velke GmbH (3747) et du relevé des demanderesses sur la base de l'agenda (3758). Cette différence est difficilement explicable et jette un doute sur l'exactitude du nombre de consultations recensé dans les statistiques RSS. En effet, la différence entre les chiffres d'affaires de CHF 709'872.96, selon ces statistiques moins l'activité de l'art- thérapeute, et de CHF 729'507.63, selon Curabill, n'est que de 2,69%, alors que la différence du nombre de consultations selon les statistiques RSS et l'expertise est de 19,7%. Cela étant, la chambre de céans considère qu'aucune prétention supplémentaire ne peut être tirée du fait que, selon les statistiques RSS, le coût par consultation s'élève à CHF 235.95.</w:t>
      </w:r>
    </w:p>
    <w:p>
      <w:r>
        <w:rPr>
          <w:b/>
        </w:rPr>
        <w:t>E. 18</w:t>
      </w:r>
    </w:p>
    <w:p>
      <w:r>
        <w:t>Par ailleurs, même si les assureurs-maladie ont donné leur approbation expresse pour certains traitements, cela ne signifie pas qu’ils ont donné à la défenderesse un blanc-seing pour la facturation de prestations non conforme au Tarmed et au temps réellement consacré au traitement. Or, en l'occurrence, seules la facturation et la réalité de certains traitements sont en cause, mais non pas leurs adéquation et efficacité.</w:t>
      </w:r>
    </w:p>
    <w:p>
      <w:r>
        <w:rPr>
          <w:b/>
        </w:rPr>
        <w:t>E. 19</w:t>
      </w:r>
    </w:p>
    <w:p>
      <w:r>
        <w:t>La défenderesse se prévaut de certaines particularités de son cabinet médical, en rapport notamment avec ses connaissances linguistiques étendues. Cependant, cet argument n’est pertinent que lorsqu’il s’agit de comparer le coût par patient du médecin avec le coût moyen du groupe de comparaison, ce qui n'est pas le cas en</w:t>
      </w:r>
    </w:p>
    <w:p>
      <w:r>
        <w:t>A/2320/2015 - 33/35 - l'espèce. En effet, en l'occurrence, le calcul des sommes à restituer est fondé uniquement sur les erreurs de facturation de la défenderesse, ainsi que sur la réalité du temps consacré aux traitements, et non pas le coût moyen par patient.</w:t>
      </w:r>
    </w:p>
    <w:p>
      <w:r>
        <w:rPr>
          <w:b/>
        </w:rPr>
        <w:t>E. 20</w:t>
      </w:r>
    </w:p>
    <w:p>
      <w:r>
        <w:t>Les demanderesses ont en outre fondé leurs prétentions sur une statistique- factureurs restreinte aux médecins psychiatres ayant eu plus de 200 patients, y compris la défenderesse. Selon celle-ci, son indice des coûts directs par patient est de 162. En appliquant une marge de tolérance abaissée à 110, cela permet de demander le remboursement de CHF 282'405.- pour 2013. Outre le fait que les chiffres avancés par les demanderesses sont contestés par la défenderesse, il n'en demeure pas moins que, selon les statistiques-factureurs comprenant tous de psychiatres de Genève, l'indice des coûts directs de la défenderesse est de 129 et se situe donc encore à l'intérieur de la marge de 130% admise par la jurisprudence. Par ailleurs, de l'avis de la chambre de céans, il n'est pas admissible de restreindre le groupe de comparaison pour arriver à des résultats plus défavorables au médecin en ce qui concerne la détermination du coût par patient.</w:t>
      </w:r>
    </w:p>
    <w:p>
      <w:r>
        <w:rPr>
          <w:b/>
        </w:rPr>
        <w:t>E. 21</w:t>
      </w:r>
    </w:p>
    <w:p>
      <w:r>
        <w:t>Enfin, la défenderesse reproche aux demanderesses d'avoir réintroduit directement une demande en paiement à son encontre dans une procédure d’économicité, sans lui avoir permis de modifier sa structure de coûts et de prendre des mesures pour s’adapter aux injonctions de Santésuisse. Ce faisant, elle se fonde sur une newsletter de Tarifsuisse SA qui gère les évaluations de l'économicité au nom et sur mandat de Santésuisse. Il résulte effectivement de cette newsletter que ces évaluations ont avant tout un rôle préventif et que les demandes de restitution ne sont pas l'objectif premier de ce type de contrôle. Il est uniquement procédé à de telles demandes lorsque le fournisseur de prestations ne peut ou ne veut justifier ses coûts trop élevés et s'il ne fait aucun effort pour les réduire. Il ne s'agit cependant tout au plus d'une directive qui n'a pas valeur légale. Au contraire, l'art. 56 al. 2 LAMal prescrit expressément que le fournisseur de prestations est tenu de restituer les sommes reçues à tort au sens de cette loi, sans aucune réserve et sans prescrire un délai d'attente. Partant, rien ne s'oppose à ce qu'une demande en restitution soit introduite avant même qu'un fournisseur de prestations ait pu modifier sa pratique médicale, en particulier lorsque la demande est essentiellement fondée sur l'absence de preuve de certaines prestations et une facturation non conforme au Tarmed, comme en l'espèce.</w:t>
      </w:r>
    </w:p>
    <w:p>
      <w:r>
        <w:rPr>
          <w:b/>
        </w:rPr>
        <w:t>E. 22</w:t>
      </w:r>
    </w:p>
    <w:p>
      <w:r>
        <w:t>Au vu de ce qui précède, la demande sera partiellement admise et la défenderesse condamnée à rembourser aux demanderesses pour l'année 2013, représentées par Santésuisse, la somme de CHF 186'825.- en chiffres ronds. Les demanderesses pour l'année 2012 seront déboutées de leur demande.</w:t>
      </w:r>
    </w:p>
    <w:p>
      <w:r>
        <w:rPr>
          <w:b/>
        </w:rPr>
        <w:t>E. 23</w:t>
      </w:r>
    </w:p>
    <w:p>
      <w:r>
        <w:t>La procédure devant le Tribunal arbitral n’est pas gratuite. Conformément à l’art. 46 al. 1 LALAMal, les frais du Tribunal et de son greffe sont à la charge des</w:t>
      </w:r>
    </w:p>
    <w:p>
      <w:r>
        <w:t>A/2320/2015 - 34/35 - parties. Ils comprennent les débours divers (notamment indemnités de témoins, frais d’expertise, port, émolument d’écritures), ainsi qu’un émolument global n’excédant pas CHF 15'000.-. Le Tribunal fixe le montant des frais et décide quelle partie doit les supporter (cf. art. 46 al. 2 LALAMal). Les demanderesses, représentées par Santésuisse, obtiennent 30% de leurs conclusions, à savoir un montant de CHF 186'825.- sur des conclusions totales de CHF 628'852.91. Eu égard au sort du litige, les frais du Tribunal, de CHF 4'875.-, et un émolument de justice, fixé à CHF 3'000.-, seront mis à concurrence de 70%, soit de CHF 5'512.50, à la charge des demanderesses, prises conjointement et solidairement, et de 30%, soit de CHF 2'362.50, à la charge de la défenderesse.</w:t>
      </w:r>
    </w:p>
    <w:p>
      <w:r>
        <w:rPr>
          <w:b/>
        </w:rPr>
        <w:t>E. 24</w:t>
      </w:r>
    </w:p>
    <w:p>
      <w:r>
        <w:t>Au vu de l'issue du litige, les dépens seront compensés.</w:t>
      </w:r>
    </w:p>
    <w:p>
      <w:r>
        <w:t>A/2320/2015 - 35/35 -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