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ATAS/209/2014 vom 19. Februar 2014</w:t>
      </w:r>
    </w:p>
    <w:p>
      <w:r>
        <w:t>GE Cour de justice, 2014-02-19, FR</w:t>
      </w:r>
    </w:p>
    <w:p>
      <w:r>
        <w:rPr>
          <w:b/>
        </w:rPr>
        <w:t xml:space="preserve">Quelle: </w:t>
      </w:r>
      <w:r>
        <w:t>https://mcp.opencaselaw.ch/entscheid/ge_gerichte_ATAS_209_2014</w:t>
      </w:r>
    </w:p>
    <w:p>
      <w:r>
        <w:t>FR: GE_GERICHTE ATAS/209/2014 du 19 février 2014</w:t>
      </w:r>
    </w:p>
    <w:p>
      <w:r>
        <w:t>IT: GE_GERICHTE ATAS/209/2014 del 19 febbraio 2014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A/1308/2013 ATAS/209/2014 COUR DE JUSTICE Chambre des assurances sociales Arrêt du 19 février 2014 4ème Chambre</w:t>
      </w:r>
    </w:p>
    <w:p>
      <w:r>
        <w:t>En la cause Madame B__________, domiciliée c/o Mme C__________, à GENEVE, comparant avec élection de domicile en l'étude de Maître Yann ARNOLD</w:t>
      </w:r>
    </w:p>
    <w:p>
      <w:r>
        <w:t>recourante</w:t>
      </w:r>
    </w:p>
    <w:p>
      <w:r>
        <w:t>contre OFFICE DE L'ASSURANCE-INVALIDITE DU CANTON DE GENEVE, sis Rue des Gares 12, GENEVE</w:t>
      </w:r>
    </w:p>
    <w:p>
      <w:r>
        <w:t>intimé</w:t>
      </w:r>
    </w:p>
    <w:p>
      <w:r>
        <w:t>A/1308/2013 - 2/4 -</w:t>
      </w:r>
    </w:p>
    <w:p>
      <w:r>
        <w:t>A/1308/2013 - 3/4 - Vu la décision du 7 mars 2013 de l’Office de l’assurance-invalidité du canton de Genève (ci-après OAI) ; Vu le recours du 24 avril 2013 interjeté par Madame B__________ (ci-après la recourante), par l’intermédiaire de son conseil, Me Yann ARNOLD, avocat ; Vu la réponse du 22 mai 2013 de l’OAI ; Vu l’écriture du 10 juin 2013 de la recourante ; Vu les écritures des 28 juin et 29 juillet 2013 de l’OAI ; Vu l’écriture du 28 août 2013 de la recourante ; Vu l'audience de comparution personnelle des parties du 25 septembre 2013 ; Vu l’instruction complémentaire effectuée par la Chambre de céans, les explications fournies par la Caisse cantonale genevoise de compensation des 17 octobre et 19 novembre 2013 et les pièces annexées ; Vu la détermination de l’OAI du 4 décembre 2013 et celle de la recourante, du 15 janvier 2014; Attendu que par courrier du 29 janvier 2014, avec copie à l’intimé, la Chambre de céans a informé la recourante que lors de sa délibération du 29 janvier 2014, elle a décidé de réformer la décision attaquée à son détriment (reformatio in pejus), les conditions d’assurance pour l’octroi d’une rente n’étant pas remplies lors de la survenance de l’invalidité ; Que par conséquent, un délai au 12 février 2014 lui a été imparti pour retirer son recours ; Que par courrier du 11 février 2014, le conseil de la recourante a indiqué que cette dernière retirait son recours ; Que par écriture spontanée du 18 février 2014, l’intimé a conclu à ce que la Chambre de céans se prononce sur l’existence du motif qui justifie une reformatio in pejus ; Qu’il n’y a pas lieu de donner suite à cette requête, dès lors que le retrait du recours met fin de facto à la procédure ; Qu'il convient dès lors d’en prendre acte et de rayer la cause du rôle.</w:t>
      </w:r>
    </w:p>
    <w:p>
      <w:r>
        <w:t>A/1308/2013 - 4/4 -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>
      <w:r>
        <w:t>Copie à la caisse cantonale genevoise de compensation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