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ATAS/209/2010 vom 2. März 2010</w:t>
      </w:r>
    </w:p>
    <w:p>
      <w:r>
        <w:t>GE Cour de justice, 2010-03-02, FR</w:t>
      </w:r>
    </w:p>
    <w:p>
      <w:r>
        <w:rPr>
          <w:b/>
        </w:rPr>
        <w:t xml:space="preserve">Quelle: </w:t>
      </w:r>
      <w:r>
        <w:t>https://mcp.opencaselaw.ch/entscheid/ge_gerichte_ATAS_209_2010</w:t>
      </w:r>
    </w:p>
    <w:p>
      <w:r>
        <w:t>FR: GE_GERICHTE ATAS/209/2010 du 2 mars 2010</w:t>
      </w:r>
    </w:p>
    <w:p>
      <w:r>
        <w:t>IT: GE_GERICHTE ATAS/209/2010 del 2 marzo 2010</w:t>
      </w:r>
    </w:p>
    <w:p>
      <w:pPr>
        <w:pStyle w:val="Heading2"/>
      </w:pPr>
      <w:r>
        <w:t>Regeste</w:t>
      </w:r>
    </w:p>
    <w:p>
      <w:r>
        <w:t>Résumé: Lorsque le salarié d'une société a une position similaire à celle d'une employeur, la jurisprudence soumet son droit à l'indemnité de chômage, soit à la rupture des liens qui l'unissaient à l'entreprise (radiation du RC), soit à la fermeture définitive de celle-ci. En l'espèce, quand bien même l'assurée occupait un poste administratif de secrétaire-comptable, elle jouait un rôle prépondérant, avec pouvoir de décision, dans l'entreprise familiale. Dès lors, elle ne peut prétendre à des indemnités chômage qu'à compter du moment où l'entreprise (matériel et personnel) a été reprise par un tiers.</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l'assurée à l'indemnité chômage dès le 1er décembre 2008.</w:t>
      </w:r>
    </w:p>
    <w:p>
      <w:r>
        <w:rPr>
          <w:b/>
        </w:rPr>
        <w:t>E. 4</w:t>
      </w:r>
    </w:p>
    <w:p>
      <w:r>
        <w:t>En vertu de l'art. 8 al. 1 LACI, l'assuré a droit à l'indemnité de chômage s'il est sans emploi ou partiellement sans emploi (let. a), s'il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D'après la jurisprudence, un travailleur qui jouit d'une situation professionnelle comparable à celle d'un employeur n'a pas droit à l'indemnité de chômage lorsque, bien que licencié formellement par une entreprise, il continue de fixer les décision de l'employeur ou à influencer celles-ci de manière déterminante. Dans le cas contraire, en effet, on détournerait par le biais d'une disposition sur l'indemnité de chômage la règlementation en matière d'indemnité en cas de réduction de l'horaire de travail, en particulier l'art. 31 al. 3 let. c LACI. Selon cette disposition, n'ont pas droit à l'indemnité en cas de réduction de l'horaire de travail les personnes qui fixent les décisions que prend l'employeur ou peuvent les influencer considérablement en qualité d'associé, de membre d'un organe dirigeant de l'entreprise ou encore de détenteur d'une participation financière de l'entreprise; il en va de même des conjoints de ces personnes qui sont occupés dans l'entreprise.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w:t>
      </w:r>
    </w:p>
    <w:p>
      <w:r>
        <w:t>A/3351/2009 - 5/8 -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 occupant une fonction dirigeante qui, bien que formellement licenciées, poursuivent une activité pour la compte de la société dans laquelle elles travaillaient. De par leur position particulière, ces personnes peuvent en effet exercer une influence sur la perte de travail qu'elles subissent, ce qui rend justement leur chômage difficilement contrôlable (ATF 123 V, 234 consid. 7b/bb; ATFA non publié du 29 juin 2004, C 65/04, consid. 2). ). Même si de jurisprudence constante, l'inscription de l'assuré au Registre du commerce (comme organe de la société) permet de déterminer s'il occupe une position assimilable à celle d'un employeur; la radiation de cette inscription permettant d'admettre qu'il a quitté la société (ATFA non publié du 29 novembre 2005, C 175/04, consid. 3.2), il n'y a pas lieu de se fonder de façon stricte sur la position formelle de l'organe à considérer. C'est ainsi au demeurant la notion matérielle d'organe dirigeant qui est importante, car c'est la seule façon de garantir que l'art. 31 al. 3 let.c LACI remplisse son objectif (SVR 1997 ALV n° 101 p. 311 consid. 5d.). Ainsi,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n°101 p. 311 consid. 5c). La seule exception à ce principe que reconnaît le TFA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3.3). Il doit en aller de même avec les associés d'une Sàrl. En effet, conformément à l'art. 811 al. 1 CO, s'il n'en est pas disposé autrement, les associés dans la Sàrl ont non seulement le droit mais également l'obligation de participer à la gestion de la société. En édictant cette disposition, le législateur est parti du principe que les personnes qui détiennent la</w:t>
      </w:r>
    </w:p>
    <w:p>
      <w:r>
        <w:t>A/3351/2009 - 6/8 - société doivent également en assumer la direction. A ce titre, les associés, respectivement les associés-gérants lorsqu'il en a été désigné, occupent collectivement une position comparable à celle du conseil d'administration d'une SA (ATFA non publié C 37/02 du 22 novembre 2002 et les références).</w:t>
      </w:r>
    </w:p>
    <w:p>
      <w:r>
        <w:rPr>
          <w:b/>
        </w:rPr>
        <w:t>E. 6</w:t>
      </w:r>
    </w:p>
    <w:p>
      <w:r>
        <w:t>En l'occurrence, il sied d'examiner préalablement quel était le rôle de l'assurée dans la société. Elle allègue à cet égard n'avoir eu aucun pouvoir décisionnel et n'avoir accompli qu'une activité de subordonnée.</w:t>
      </w:r>
    </w:p>
    <w:p>
      <w:r>
        <w:t>Formellement, l'assurée ne faisait effectivement pas partie de l'organe de gestion de la société puisqu'elle était inscrite au Registre du commerce en la seule qualité d'associée sans signature. Son pouvoir de décision au sens de l'art. 811 al. 1 CO était de surcroît réduit par les statuts, vu le peu de valeur de sa part sociale. Concrètement, l'assurée occupait toutefois une place importante dans la société. Elle est la fille du gérant de l'entreprise et sa mère dispose de la part sociale la plus importante. Du fait de son domicile en face de celui de ses parents, on peut déduire qu'elle entretient avec eux des liens étroits. Elle a du reste accepté d'installer le siège de l'entreprise chez elle ce qui corrobore l'idée que l'entreprise a une réelle nature familiale. L'assurée occupait par ailleurs une fonction administrative majeure au sein de la société puisqu'elle assumait l'intégralité de la gestion du personnel et de la gestion comptable jusqu'au bilan. Il apparaît ainsi hautement vraisemblable au sens requis par la jurisprudence (ATF 126 V 360 consid. 5a et b, 125 V 195 consid. 2 et les références ; cf. ATF 130 III 324 consid. 3.2 et 3.3) qu'elle jouait, dans le cadre de son activité professionnelle, un rôle allant au-delà de ce que l'on pourrait attendre d'une simple secrétaire comptable et que partant, elle disposait d'un véritable pouvoir décisionnel qui rend difficile tout contrôle de sa perte de travail.</w:t>
      </w:r>
    </w:p>
    <w:p>
      <w:r>
        <w:t>Lorsque le salarié a une position similaire à celle d'un employeur, la jurisprudence soumet son droit à l'indemnité chômage, soit à la rupture des liens qui l'unissait à l'entreprise, soit à la fermeture définitive de celle-ci (ATF 123 V 234). Dans le cas de l'assurée la rupture de ses liens avec la société a été attestée par la radiation de sa qualité d'associée en juin 2009 et c'est à juste titre que la caisse lui a accordé un droit aux indemnités chômage dès ce moment-là.</w:t>
      </w:r>
    </w:p>
    <w:p>
      <w:r>
        <w:rPr>
          <w:b/>
        </w:rPr>
        <w:t>E. 7</w:t>
      </w:r>
    </w:p>
    <w:p>
      <w:r>
        <w:t>L'assurée réclame des indemnités chômage dès le 1er décembre 2008, date à laquelle son contrat de travail a pris fin au motif qu'après son départ ses tâches ont été reprises par la fiduciaire et par ses parents et que l'entreprise n'avait quasiment plus d'activité, vu la fermeture usuelle de trois semaines au moment des fêtes de fin d'année. Le Tribunal de céans constate toutefois que l'entreprise ne pouvait en réalité être considérée comme n'ayant plus aucune activité à ce moment-là puisqu'elle disposait encore de son matériel et employait deux ouvriers. La perte de travail de l'assurée était ainsi toujours incontrôlable. Ce n'est en effet pas l'abus comme tel que la loi et la jurisprudence entendent sanctionner, mais le simple</w:t>
      </w:r>
    </w:p>
    <w:p>
      <w:r>
        <w:t>A/3351/2009 - 7/8 - risque d'abus que représente le versement d'indemnités à un travailleur jouissant d'une situation comparable à celle d'un employeur (ATAS 93/09).</w:t>
      </w:r>
    </w:p>
    <w:p>
      <w:r>
        <w:t>La situation doit en revanche s'apprécier différemment au moment de la reprise du matériel et des deux employés par l'entreprise Z___________, le 1er février 2009. En effet, même si l'entreprise n'avait pas cessé formellement d'exister à ce moment- là puisqu'elle n'avait pas encore été radiée au Registre du commerce, elle ne pouvait matériellement plus exercer aucune activité. Tout risque d'abus était ainsi écarté. L'assurée peut dès lors prétendre à des indemnités chômage à compter de cette date.</w:t>
      </w:r>
    </w:p>
    <w:p>
      <w:r>
        <w:t>A/3351/2009 - 8/8 -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