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ATAS/208/2026 vom 12. März 2026</w:t>
      </w:r>
    </w:p>
    <w:p>
      <w:r>
        <w:t>GE Cour de justice, 2026-03-12, FR</w:t>
      </w:r>
    </w:p>
    <w:p>
      <w:r>
        <w:rPr>
          <w:b/>
        </w:rPr>
        <w:t xml:space="preserve">Quelle: </w:t>
      </w:r>
      <w:r>
        <w:t>https://mcp.opencaselaw.ch/entscheid/ge_gerichte_ATAS_208_2026</w:t>
      </w:r>
    </w:p>
    <w:p>
      <w:r>
        <w:t>FR: GE_GERICHTE ATAS/208/2026 du 12 mars 2026</w:t>
      </w:r>
    </w:p>
    <w:p>
      <w:r>
        <w:t>IT: GE_GERICHTE ATAS/208/2026 del 12 marzo 2026</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Sa compétence pour juger du cas d’espèce est ainsi établie ;</w:t>
      </w:r>
    </w:p>
    <w:p>
      <w:r>
        <w:rPr>
          <w:b/>
        </w:rPr>
        <w:t>E. 2</w:t>
      </w:r>
    </w:p>
    <w:p>
      <w:r>
        <w:t>La LPGA, entrée en vigueur le 1er janvier 2003, est applicable au cas d'espèce.</w:t>
      </w:r>
    </w:p>
    <w:p>
      <w:r>
        <w:rPr>
          <w:b/>
        </w:rPr>
        <w:t>E. 3</w:t>
      </w:r>
    </w:p>
    <w:p>
      <w:r>
        <w:t>Il s'agit en l'occurrence d'examiner la recevabilité du recours.</w:t>
      </w:r>
    </w:p>
    <w:p>
      <w:r>
        <w:rPr>
          <w:b/>
        </w:rPr>
        <w:t>E. 4</w:t>
      </w:r>
    </w:p>
    <w:p>
      <w:r>
        <w:t>L'art. 61 LPGA prévoit que la procédure devant la chambre des assurances sociales est réglée par le droit cantonal, sous réserve de ce que celui-ci respecte les exigences minimales requises par la LPGA.</w:t>
      </w:r>
    </w:p>
    <w:p>
      <w:r>
        <w:t>- 3/5-</w:t>
      </w:r>
    </w:p>
    <w:p>
      <w:r>
        <w:t>A/459/2026 Les décisions sur opposition et celles contre lesquelles la voie de l’opposition n’est pas ouverte sont sujettes à recours dans les 30 jours suivant la notification de la décision sujette à recours (art. 56 et 60 LPGA ;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En l'occurrence, il n'est pas contesté que le recours du 4 février 2026 a été manifestement interjeté bien après le délai de 30 jours dès réception de la décision litigieuse du 23 juin 2025.</w:t>
      </w:r>
    </w:p>
    <w:p>
      <w:r>
        <w:rPr>
          <w:b/>
        </w:rPr>
        <w:t>E. 5</w:t>
      </w:r>
    </w:p>
    <w:p>
      <w:r>
        <w:t>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86 consid. 2a ; 112 V 255 consid. 2a). Cela étant, en l’occurrence, la recourante n’a fait état d’aucun motif susceptible de justifier une restitution de délai. Au vu de ce qui précède, le recours doit être déclaré irrecevable pour cause de tardiveté.</w:t>
      </w:r>
    </w:p>
    <w:p>
      <w:r>
        <w:rPr>
          <w:b/>
        </w:rPr>
        <w:t>E. 6</w:t>
      </w:r>
    </w:p>
    <w:p>
      <w:r>
        <w:t>L’irrecevabilité s’impose d’autant plus qu’en outre, le recours ne satisfait pas aux règles formelles, l’acte étant dépourvu de signature manuscrite et n’ayant pas été régularisé dans le délai imparti pour ce faire.</w:t>
      </w:r>
    </w:p>
    <w:p>
      <w:r>
        <w:t>- 4/5-</w:t>
      </w:r>
    </w:p>
    <w:p>
      <w:r>
        <w:t>A/459/2026 Or, l'exigence de la signature d'un recours est une condition de sa recevabilité, étant précisé que la signature doit être manuscrite et que l'acte sur lequel la signature n'est que reproduite (photocopie, fac-similé) n'est pas valable (ATF 142 V 152 consid. 4 et les arrêts cités). Selon la jurisprudence, il n'est pas arbitraire, de la part de l'autorité saisie, de déclarer irrecevable une requête dépourvue de signature (valable). En outre, l'interdiction du formalisme excessif n'oblige pas l'autorité à inviter l'auteur à réparer l'irrégularité en lui fixant à cette fin un délai allant au-delà du délai légal de recours, sauf disposition contraire (ATF 108 Ia 289 consid. 2). En revanche, l'autorité qui reçoit un recours non signé (valablement) a le devoir d'attirer l'attention de l'auteur sur ce défaut, pour autant qu'en raison des circonstances, celui-ci doive normalement être aperçu d'emblée et que le délai encore disponible permette de mettre l'auteur en mesure de le réparer à temps (ATF 142 V 152 précité consid. 4.3). Eu égard aux considérations qui précèdent, le recours est déclaré irrecevable.</w:t>
      </w:r>
    </w:p>
    <w:p>
      <w:r>
        <w:t>***</w:t>
      </w:r>
    </w:p>
    <w:p>
      <w:r>
        <w:t>- 5/5-</w:t>
      </w:r>
    </w:p>
    <w:p>
      <w:r>
        <w:t>A/459/2026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