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ATAS/208/2016 vom 14. März 2016</w:t>
      </w:r>
    </w:p>
    <w:p>
      <w:r>
        <w:t>GE Cour de justice, 2016-03-14, FR</w:t>
      </w:r>
    </w:p>
    <w:p>
      <w:r>
        <w:rPr>
          <w:b/>
        </w:rPr>
        <w:t xml:space="preserve">Quelle: </w:t>
      </w:r>
      <w:r>
        <w:t>https://mcp.opencaselaw.ch/entscheid/ge_gerichte_ATAS_208_2016</w:t>
      </w:r>
    </w:p>
    <w:p>
      <w:r>
        <w:t>FR: GE_GERICHTE ATAS/208/2016 du 14 mars 2016</w:t>
      </w:r>
    </w:p>
    <w:p>
      <w:r>
        <w:t>IT: GE_GERICHTE ATAS/208/2016 del 14 marzo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A/559/2015 - 10/17 - entrée en vigueur (ATF 117 V 93 consid. 6b; ATF 112 V 360 consid. 4a; RAMA 1998 KV 37 p. 316 consid. 3b). En l’espèce, la décision litigieuse du 20 janvier 2015 est postérieure à l’entrée en vigueur des modifications de la LAI citées supra.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56ss LPGA ; art. 89B de la loi sur la procédure administrative du 12 septembre 1985 - LPA ; RSG E 5 10).</w:t>
      </w:r>
    </w:p>
    <w:p>
      <w:r>
        <w:rPr>
          <w:b/>
        </w:rPr>
        <w:t>E. 5</w:t>
      </w:r>
    </w:p>
    <w:p>
      <w:r>
        <w:t>Le litige porte sur le droit de l’intimé à mettre un terme au versement de la rente d’invalidité avec effet au 30 avril 2009, singulièrement sur l’existence d’une modification sensible de l’état de santé de la recourante et/ou de ses conséquences sur sa capacité de gain dès février 2009.</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w:t>
      </w:r>
    </w:p>
    <w:p>
      <w:r>
        <w:t>A/559/2015 - 11/17 - à un réexamen sans condition du droit à la rente (arrêt du Tribunal fédéral des assurances I.406/05 du 13 juillet 2006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A/559/2015 - 12/17 -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A/559/2015 - 13/17 -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t>A/559/2015 - 14/17 -</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l’occurrence, la décision du 20 janvier 2015 octroie à la recourante une rente entière d’invalidité du 3 novembre 2007 au 30 avril 2009. Il convient donc d’examiner si l’intimé était fondé à supprimer la rente accordée avec effet rétroactif au motif que l’état de santé ou la capacité de gain de la recourante avait subi un changement notable en février 2009. L’intimé s’est basé sur les avis du SMR des 11 mai et 23 septembre 2010 qui concluent que l’incapacité de travail a été totale du 3 novembre 2006 au 31 janvier 2009, mais qu’une activité adaptée était exigible dès février 2009. Le SMR s’est lui-même fondé sur les conclusions du Dr F______ suite à son examen du 25 février 2010, lequel a retenu que la situation était stationnaire depuis au moins une année, soit depuis février 2009, et que la recourante pouvait travailler à temps complet dans un métier adapté, soit une activité n’impliquant pas de marche ou de station debout prolongée, pas de marche en terrain inégal, pas de position accroupie, pas de montées ou descentes répétitives d’escaliers ou d’échelles.</w:t>
      </w:r>
    </w:p>
    <w:p>
      <w:r>
        <w:rPr>
          <w:b/>
        </w:rPr>
        <w:t>E. 14</w:t>
      </w:r>
    </w:p>
    <w:p>
      <w:r>
        <w:t>a. La chambre de céans constate que si le rapport du 7 avril 2010 du Dr F______ se fonde sur une anamnèse détaillée, un examen clinique, l’étude du dossier radiologique complet de la recourante et qu’il tient compte des plaintes de cette dernières, ses conclusions sont insuffisamment motivées et contredites par plusieurs pièces produites. b. En ce qui concerne la stabilité de l’état de santé de la recourante, l’appréciation du Dr F______ est difficilement compréhensible, dès lors qu’il a signalé un début d’arthrose de l’articulation calcanéo-cuboïdienne, alors qu’une telle atteinte n’avait jusqu’alors pas été mentionnée. Il est en effet rappelé que le Dr D______ a fait état, dans son rapport du 26 mars 2009, d’un début d’arthrose au niveau de l’articulation astragalo-calcanéenne et d’une potentielle arthrose sous- astragalienne. Il apparaît ainsi hautement vraisemblable que la recourante a développé de l’arthrose sur l’articulation calcanéo-cuboïdienne entre les examens de mars 2009 et de février 2010, ce qui permet d’exclure toute stabilisation de son état de santé durant cette même période. À cet égard, la chambre de céans relèvera encore que le Dr D______ avait estimé en mars 2009 que l’état de santé n’était pas stabilisé et que l’évolution n’était pas terminée, ce qui aurait dû inciter le Dr F______ à motiver les raisons pour lesquelles il s’écartait de cet avis.</w:t>
      </w:r>
    </w:p>
    <w:p>
      <w:r>
        <w:t>A/559/2015 - 15/17 - De surcroît, contrairement à ce qui a été retenu par le SMR dans ses avis des</w:t>
      </w:r>
    </w:p>
    <w:p>
      <w:r>
        <w:rPr>
          <w:b/>
        </w:rPr>
        <w:t>E. 19</w:t>
      </w:r>
    </w:p>
    <w:p>
      <w:r>
        <w:t>février et 11 août 2014, la chambre de céans considère que les faits de la cause démontrent que l’état de santé de la recourante a continué à s’aggraver depuis le rapport du Dr F______, puisque l’arthrose calcanéo-cuboïdienne, qui était selon toute vraisemblance inexistante en 2009 et en train de se développer en février 2010, a été qualifiée de légère à moyenne au début de l’année 2012. En outre, une usure fémoro-patellaire du compartiment interne du genou droit a été constatée en février 2012, et un volumineux noyau d’ossification, une probable myo- aponévrosite et un petit fragment osseux libre ont été mis en évidence en avril 2014. On ne saurait considérer, comme l’a fait le SMR, qu’il s’agirait de simples descriptions anatomiques, ce d’autant plus que la recourante a subi une arthrodèse calcanéo-cuboïdienne et une fascéite plantaire le 22 janvier 2015, soit seulement deux jours après le prononcé de la décision litigieuse, et une quatrième intervention en 2016. Partant, il n’est pas contestable que l’état de santé de la recourante s’est aggravé depuis février 2009, de sorte que l’appréciation du Dr F______ y relative ne saurait être suivie. c. S’agissant de la capacité de travail de la recourante, le Dr F______ a considéré qu’elle était entière dans une activité adaptée. Il est toutefois rappelé que le Dr D______ avait conclu, dans son rapport du 7 juillet 2009, que la reprise d’une activité adaptée serait possible dès la bonne adaptation des supports plantaires, à 50% dans un premier temps puis à 100% après deux à trois mois. Or, au jour de l’examen par le Dr F______, la recourante ne bénéficiait toujours pas de semelles adaptées puisqu’il a été relevé qu’elle ne pouvait pas porter le support en carbone rigide qui lui avait été prescrit avec des chaussures normales et qu’il était totalement inutile sans des chaussures modifiées par une barre de déroulement. Compte tenu de l’avis divergent émis par son confrère, le Dr F______ aurait dû développer les motifs qui lui permettaient de conclure que la capacité de travail résiduelle de la recourante ne dépendait pas du port de semelles adaptées. Dans ces conditions, son appréciation quant à la capacité de travail de la recourante dans une activité adaptée ne saurait être confirmée. 15. Il en va de même de l’estimation des autres médecins qui se sont prononcés sur la question, en particulier du Dr D______ qui n’a pas expliqué les raisons pour lesquelles la reprise d’une activité sédentaire était subordonnée au port de supports plantaires adaptés, du Dr C______ qui a uniquement mentionné qu’une capacité de travail à temps partiel pourrait être envisagée sans précision aucune quant aux taux d’activité et date de la reprise, de la Dresse H______ qui a signé des arrêts de travail tout en ne retenant aucun diagnostic ayant des répercussions sur la capacité de travail, ou encore du Dr K______ qui a considéré que l’invalidité de sa patiente était totale, mais n’a livré aucune argumentation justifiant une impossibilité de travailler dans un poste sédentaire.</w:t>
      </w:r>
    </w:p>
    <w:p>
      <w:r>
        <w:t>A/559/2015 - 16/17 - 16. Eu égard à tout ce qui précède, la chambre de céans n’est pas en mesure de statuer en l’état actuel du dossier, dès lors qu’il ne contient pas les éléments suffisants et probants permettant de se déterminer sur les répercussions des atteintes à la santé de la recourante sur sa capacité de travail dans une activité adaptée à compter de février 2009, et partant sur son degré d’invalidité. La cause sera donc renvoyée à l’intimé afin qu’il ordonne une instruction sous la forme d’une expertise médicale indépendante auprès d’un spécialiste en orthopédie. Un tel renvoi se justifie à plus forte raison que l’intimé n’a sollicité aucun examen orthopédique et s’est limité à requérir des rapports de synthèse de la part du SMR, et qu’il a fondé sa décision de 2015 sur un rapport rendu en 2010, alors que de nombreuses pièces produites faisaient état de nouvelles atteintes à la santé de la recourante. Cette absence d’instruction est d’autant plus choquante que le Dr D______ avait signalé en 2009 que la recourante avait été « ballotée » et que les suites de son accident avaient été traitées de manière « inhabituelle ». La prise en charge de la recourante ne semble d’ailleurs pas s’être optimisée par la suite puisqu’elle a été adressée à une rhumatologue qui a rendu des conclusions en méconnaissance de l’ensemble des interventions pratiquées, qu’elle n’a pas bénéficié de supports plantaires adaptés et que les séances de physiothérapie prescrites étaient mal ciblées. 17. Ainsi, le recours sera partiellement admis et la décision querellée annulée en tant qu’elle nie le droit de la recourante à des prestations au-delà du 30 avril 2009. Elle sera confirmée pour le surplus et le dossier renvoyé à l’autorité administrative afin qu’elle procède conformément aux considérants.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A/559/2015 - 17/17 -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