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ATAS/208/2012 vom 29. Februar 2012</w:t>
      </w:r>
    </w:p>
    <w:p>
      <w:r>
        <w:t>GE Cour de justice, 2012-02-29, FR</w:t>
      </w:r>
    </w:p>
    <w:p>
      <w:r>
        <w:rPr>
          <w:b/>
        </w:rPr>
        <w:t xml:space="preserve">Quelle: </w:t>
      </w:r>
      <w:r>
        <w:t>https://mcp.opencaselaw.ch/entscheid/ge_gerichte_ATAS_208_2012</w:t>
      </w:r>
    </w:p>
    <w:p>
      <w:r>
        <w:t>FR: GE_GERICHTE ATAS/208/2012 du 29 février 2012</w:t>
      </w:r>
    </w:p>
    <w:p>
      <w:r>
        <w:t>IT: GE_GERICHTE ATAS/208/2012 del 29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A/2738/2011 - 4/8 - sur l'assurance-chômage obligatoire et l'indemnité en cas d'insolvabilité, du 25 juin 1982 (loi sur l’assurance-chômage, LACI; RS 837.0). Sa compétence pour juger du cas d’espèce est ainsi établie.</w:t>
      </w:r>
    </w:p>
    <w:p>
      <w:r>
        <w:rPr>
          <w:b/>
        </w:rPr>
        <w:t>E. 2</w:t>
      </w:r>
    </w:p>
    <w:p>
      <w:r>
        <w:t>Les dispositions de la LPGA s’appliquent à l’assurance-chômage obligatoire et à l’indemnité en cas d’insolvabilité, à moins que la présente loi ne déroge expressément à la LPGA (cf. art. 1 al. 1 LACI). .</w:t>
      </w:r>
    </w:p>
    <w:p>
      <w:r>
        <w:rPr>
          <w:b/>
        </w:rPr>
        <w:t>E. 3</w:t>
      </w:r>
    </w:p>
    <w:p>
      <w:r>
        <w:t>Interjeté dans les forme et délai prévus par la loi, le recours est recevable (art. 56 et 60 LPGA ; art. 89B de la loi sur la procédure administrative, du 12 septembre 1985 - LPA ; RS E 5 10).</w:t>
      </w:r>
    </w:p>
    <w:p>
      <w:r>
        <w:rPr>
          <w:b/>
        </w:rPr>
        <w:t>E. 4</w:t>
      </w:r>
    </w:p>
    <w:p>
      <w:r>
        <w:t>Le litige porte sur le nombre maximum d’indemnités auxquelles le recourant peut prétendre durant son délai-cadre qui court du 3 mai 2010 au 3 mai 2012, plus particulièrement sur l’applicabilité des modifications de la LACI à compter du 1er avril 2011.</w:t>
      </w:r>
    </w:p>
    <w:p>
      <w:r>
        <w:rPr>
          <w:b/>
        </w:rPr>
        <w:t>E. 5</w:t>
      </w:r>
    </w:p>
    <w:p>
      <w:r>
        <w:t>... 5bis Les personnes âgées de moins de 25 ans qui n’ont pas d’obligation d’entretien envers des enfants ont droit à 200 indemnités journalières au plus. Il sied de préciser que l’art. 27 al. 5bis LACI abaissant de 24 à 22 mois la durée de cotisation minimale donnant droit au nombre maximum de 520 indemnités journalières a fait l’objet d’une décision du Parlement lors de sa session d’automne 2011 et est entré en vigueur le 1er janvier 2012. Les assurés concernés sont les personnes de plus de 55 ans ainsi que les bénéficiaires d’une rente AI dont le taux d’invalidité est d’au moins 40 % et qui soit sont âgés de plus de 25 ans, soit ont une obligation d’entretien envers des enfants de moins de 25 ans. Les personnes concernées dont le délai cadre est encore ouvert peuvent faire valoir ce droit (cf. 027-Bulletin LACI 2011/R18). Enfin, concernant la durée d’indemnisation, la LF du 19 mars 2010 ne contient aucune disposition transitoire.</w:t>
      </w:r>
    </w:p>
    <w:p>
      <w:r>
        <w:rPr>
          <w:b/>
        </w:rPr>
        <w:t>E. 6</w:t>
      </w:r>
    </w:p>
    <w:p>
      <w:r>
        <w:t>Le recourant invoque les droits acquis et soutient que la nouvelle loi qui réduit son droit aux indemnités de chômage de 520 jours (400 + 120 en cas de fort taux de chômage) à 260 jours ne lui est pas applicable, en vertu du principe de non- rétroactivité. Il dénonce une violation du principe de la prévisibilité du droit applicable et du principe de la bonne foi.</w:t>
      </w:r>
    </w:p>
    <w:p>
      <w:r>
        <w:rPr>
          <w:b/>
        </w:rPr>
        <w:t>E. 7</w:t>
      </w:r>
    </w:p>
    <w:p>
      <w:r>
        <w:t>a) Selon les principes généraux, en cas de changement de règles de droit, les dispositions applicables sont celles en vigueur lors de la réalisation de l'état de fait qui doit être apprécié juridiquement ou qui a des conséquences juridiques (ATF 126 V 166 consid. 4b, 123 V 135 consid. 2b, 121 V 100 consid. 1a et la jurisprudence citée; MOOR, Droit administratif, vol. I, 2e éd., p. 170). Dégagé de l'art. 4 al. 1 Cst., le principe de la non-rétroactivité fait obstacle à l'application d'une norme à des faits entièrement révolus avant son entrée en vigueur (ATF 122 II 124 consid. 3b/dd, ATF 119 Ia 257 consid. 3a; 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ATF 119 V 4 consid. 2a, ATF 102 Ia 74). Toutefois, en présence d'un état de choses durable, non encore révolu lors du changement de législation, le nouveau droit est en règle générale applicable, sauf disposition transitoire contraire (rétroactivité impropre). Il n'y a pas, dans ce cas, de</w:t>
      </w:r>
    </w:p>
    <w:p>
      <w:r>
        <w:t>A/2738/2011 - 6/8 - rétroactivité proprement dite, en principe inadmissible (ATF 123 V 135 consid. 2b, 122 V 408 consid. 3b/aa, 121 V 100 consid. 1a; SVR 1998 AlV n° 13 p. 39 consid. 2a; MOOR, op. cit. , p. 173; G. MÜLLER, in : Commentaire de la Constitution fédérale, art. 4 n° 74; GRISEL, Traité de droit administratif, p. 149 sv.; IMBODEN/RHINOW, Schweizerische Verwaltungsrechtsprechung, 5e éd., vol. I no 16 B III; KÖLZ, Intertemporales Verwaltungsrecht, RDS 1983 II, p. 167 sv.). Ainsi, il n'y a pas de rétroactivité proprement dite si la nouvelle règle s'applique à un état de choses durable, non entièrement révolu dans le temps; il s'agit d'une rétroactivité impropre, qui est en principe admise si elle ne porte pas atteinte à des droits acquis (ATF 122 V 8 BGE 122 V 405 S. 409 consid. 3a, 121 V 100 consid. 1a et les références citées). Enfin, le principe de la bonne foi, consacré expressément à l’art. 9 Cst, ne saurait, en règle ordinaire, être invoqué en cas de changement de législation (ATF 122 V 409, 113 V 304 consid. 3a, ATF 106 Ia 259 consid. 3c; KNAPP, Précis de droit administratif, 4ème éd., no 513, p. 109). b) Les rigueurs d'une application immédiate et générale d'une loi peuvent être adoucies par l'adoption d'un régime transitoire qui permette la prise en considération des intérêts de ceux dont la situation ne va plus correspondre aux exigences nouvelles. Le principe et l'aménagement d'une telle transition dépendent cependant de la liberté d'appréciation du législateur (ATF 122 V 409 consid. 3b/bb). Parfois, le Tribunal fédéral en a prononcé l'obligation qu'il a fait dériver du principe de la proportionnalité (ATF 106 Ia 191) ou du principe de la confiance (ATF 113 V 301; cf. dans ce sens, MOOR, op. cit. , p. 176). Cette intervention n'a cependant jamais concerné l'application d'une loi fédérale nouvelle, soustraite à son examen, mais celle de lois cantonales ou de règlements émanant d'autorités administratives (SVR 1998 AlV n° 13 p. 40 consid. 3).</w:t>
      </w:r>
    </w:p>
    <w:p>
      <w:r>
        <w:rPr>
          <w:b/>
        </w:rPr>
        <w:t>E. 8</w:t>
      </w:r>
    </w:p>
    <w:p>
      <w:r>
        <w:t>En l’espèce, le recourant est sans emploi depuis le mois de mai 2010 et cette situation perdurait au 1er avril 2011, son délai-cadre arrivant à échéance le 3 mai 2012. Force est de constater que la situation juridique qui en résulte et donne lieu à des prestations de l'assurance-chômage n'est ainsi pas ponctuelle mais perdure pendant la période du délai-cadre d'indemnisation ou à tout le moins jusqu'à la fin du chômage. Par conséquent, au vu de la modification législative intervenue durant cette période et conformément aux principes susmentionnés, ce sont les nouvelles règles qui sont applicables dès lors qu'en l'absence de disposition transitoire prévue par la LF du 19 mars 2010, il ne saurait y avoir rétroactivité impropre (cf. ATF du 19 mars 2002 C 89/01).</w:t>
      </w:r>
    </w:p>
    <w:p>
      <w:r>
        <w:t>A/2738/2011 - 7/8 - Le recourant, âgé de 38 ans en 2011, présente une durée de cotisations de 16,933 mois. Conformément à l’art. 27 al. 1 let. a LACI, sont droit est ramené, à compter du 1er avril 2011 et dans la limite de son délai-cadre, à 260 indemnités. Pour le surplus, s’agissant d’un changement de législation, le recourant ne peut se prévaloir du principe de la bonne foi</w:t>
      </w:r>
    </w:p>
    <w:p>
      <w:r>
        <w:rPr>
          <w:b/>
        </w:rPr>
        <w:t>E. 9</w:t>
      </w:r>
    </w:p>
    <w:p>
      <w:r>
        <w:t>Au vu de ce qui précède, le recours, mal fondé, doit être rejeté.</w:t>
      </w:r>
    </w:p>
    <w:p>
      <w:r>
        <w:t>A/2738/2011 - 8/8 -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