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ATAS/207/2025 vom 26. März 2025</w:t>
      </w:r>
    </w:p>
    <w:p>
      <w:r>
        <w:t>GE Cour de justice, 2025-03-26, FR</w:t>
      </w:r>
    </w:p>
    <w:p>
      <w:r>
        <w:rPr>
          <w:b/>
        </w:rPr>
        <w:t xml:space="preserve">Quelle: </w:t>
      </w:r>
      <w:r>
        <w:t>https://mcp.opencaselaw.ch/entscheid/ge_gerichte_ATAS_207_2025</w:t>
      </w:r>
    </w:p>
    <w:p>
      <w:r>
        <w:t>FR: GE_GERICHTE ATAS/207/2025 du 26 mars 2025</w:t>
      </w:r>
    </w:p>
    <w:p>
      <w:r>
        <w:t>IT: GE_GERICHTE ATAS/207/2025 del 26 marzo 2025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L’assurance en cause dans le litige déféré à la chambre de céans est une assurance maladie collective d’indemnités journalières soumise à la LCA, comme cela ressort de la police d’assurance conclue par l’employeur de la demanderesse et des conditions générales d’assurance (CG) de la défenderesse. La chambre de céans est donc compétente à raison de la matière pour statuer sur la demande.</w:t>
      </w:r>
    </w:p>
    <w:p>
      <w:r>
        <w:rPr>
          <w:b/>
        </w:rPr>
        <w:t>E. 1.1</w:t>
      </w:r>
    </w:p>
    <w:p>
      <w:r>
        <w:t>S’agissant de la compétence à raison du lieu,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L’art. 329 CG prescrit que la défenderesse peut être poursuivie par le preneur d’assurance et la personne assurée à son siège et par les employés assurés disposant d’un droit d’action direct envers Allianz, soit au siège de cette dernière, soit à leur lieu de travail en Suisse. En l’occurrence, l’employeur de la recourante est domicilié dans le canton de Genève, où il développe son activité, de sorte que la chambre de céans est compétente à raison du lieu pour connaître de la demande.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comme c’est le cas dans le canton de Genève (art. 134 al. 1 let. c LOJ).</w:t>
      </w:r>
    </w:p>
    <w:p>
      <w:r>
        <w:t>A/2486/2024 - 4/6 -</w:t>
      </w:r>
    </w:p>
    <w:p>
      <w:r>
        <w:rPr>
          <w:b/>
        </w:rPr>
        <w:t>E. 3</w:t>
      </w:r>
    </w:p>
    <w:p>
      <w:r>
        <w:t>À titre liminaire, il convient d'examiner les conclusions de la demande.</w:t>
      </w:r>
    </w:p>
    <w:p>
      <w:r>
        <w:rPr>
          <w:b/>
        </w:rPr>
        <w:t>E. 3.1</w:t>
      </w:r>
    </w:p>
    <w:p>
      <w:r>
        <w:t>Aux termes de l’art. 58 CPC, le tribunal ne peut accorder à une partie ni plus ni autre chose que ce qui est demandé ni moins que ce qui est reconnu par la partie adverse (al. 1). Les dispositions prévoyant que le tribunal n’est pas lié par les conclusions des parties sont réservées (al. 2). 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in Code de procédure civile commenté, n. 9 ad art. 59 CPC).</w:t>
      </w:r>
    </w:p>
    <w:p>
      <w:r>
        <w:rPr>
          <w:b/>
        </w:rPr>
        <w:t>E. 3.2</w:t>
      </w:r>
    </w:p>
    <w:p>
      <w:r>
        <w:t>Selon l’art. 84 CPC, le demandeur intente une action condamnatoire pour obtenir que le défendeur fasse, s’abstienne de faire ou tolère quelque chose (al. 1). L’action tendant au paiement d’une somme d’argent doit être chiffrée (al. 2).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Dès lors qu’en application de la maxime de disposition (art. 58 CPC), il ne peut être statué ni ultra petita ni extra petita partium, le juge doit connaître exactement les limites dans lesquelles le dispositif du jugement s’inscrit (cf. Christoph HURNI, Berner Kommentar, Schweizerische Zivilprozessordnung, 2012, n. 36 ad art. 58 CPC et les références citées). Il en découle que les conclusions doivent être déterminées avec suffisamment de précision, de manière qu’en cas d'admission de celles-ci, le jugement puisse être exécuté (cf. les arrêts du Tribunal fédéral 5A_832/2012 du 25 janvier 2013 consid. 6.2 et 5A_663/2011 du 8 décembre 2011 consid. 4.3). En d’autres termes, l’exécution (ou la sanction de l’inexécution) doit pouvoir être obtenue auprès de l’autorité compétente sans que celle-ci doive encore résoudre des questions de fond (cf. François BOHNET, op. cit. n. 2 et les références citées). Dans un arrêt du 27 juillet 2017, le Tribunal fédéral a considéré que les conclusions d’un assuré tendant à ce que l’assureur fût condamné à lui verser rétroactivement et de manière continue toutes les indemnités journalières (« rückwirkend ab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w:t>
      </w:r>
    </w:p>
    <w:p>
      <w:r>
        <w:t>A/2486/2024 - 5/6 - cantonale aurait dû entrer en matière sur le chef de conclusion précité (arrêt du Tribunal fédéral 4A_110/2017 du 27 juillet 2017 consid. 1.3). Dans un arrêt plus récent, le Tribunal fédéral a considéré que la juridiction cantonale pouvait, sans violer le droit, déclarer irrecevable le chef de conclusion « visant le paiement des prestations découlant du contrat d'assurance », dès lors qu’on ne discernait pas en quoi le calcul des indemnités journalières dues à l’assurée, déduction faite de celles qui lui avaient déjà été versées, apparaissait compliqué au point de confiner à l'impossibilité (arrêt du Tribunal fédéral 4A_618/2017 du 11 janvier 2018 consid. 4.2). On signalera encore que dans deux autres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w:t>
      </w:r>
    </w:p>
    <w:p>
      <w:r>
        <w:rPr>
          <w:b/>
        </w:rPr>
        <w:t>E. 3.3</w:t>
      </w:r>
    </w:p>
    <w:p>
      <w:r>
        <w:t>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140 III 409 consid. 4.3.2 ; ATF 137 III 617 consid. 6.4 ; arrêt du Tribunal fédéral 4A_618/2017 du 11 janvier 2018 consid. 4.4 ; François BOHNET, in Commentaire romand, Code de procédure civile, 2019, n. 19 ad art. 85 CPC). Il découle ainsi de la jurisprudence que l’absence de conclusions chiffrées constitue un vice entraînant l’irrecevabilité de la demande, sans que la fixation d’un délai au sens de l’art. 132 al. 1 CPC ne se justifie et sans qu’il soit question de formalisme excessif (arrêt du Tribunal fédéral 4A_618/2017 du 11 janvier 2018 consid. 4.4 et les références citées).</w:t>
      </w:r>
    </w:p>
    <w:p>
      <w:r>
        <w:rPr>
          <w:b/>
        </w:rPr>
        <w:t>E. 3.4</w:t>
      </w:r>
    </w:p>
    <w:p>
      <w:r>
        <w:t>En l’espèce, la demande adressée à la chambre de céans ne contient pas de conclusions chiffrées, contrairement à ce qui est prescrit par l’art. 84 al. 2 CPC, de sorte qu’elle est irrecevable, étant précisé qu’il ne s’agit pas d’un vice réparable, selon la jurisprudence. La demanderesse est ainsi invitée à former une nouvelle demande répondant aux conditions légales.</w:t>
      </w:r>
    </w:p>
    <w:p>
      <w:r>
        <w:rPr>
          <w:b/>
        </w:rPr>
        <w:t>E. 4</w:t>
      </w:r>
    </w:p>
    <w:p>
      <w:r>
        <w:t>Il n'est pas perçu de frais judiciaires (art. 114 let. e CPC), ni alloué de dépens à la charge de la demanderesse (art. 22 al. 3 let. b de la loi d'application du code civil suisse et d'autres lois fédérales en matière civile du 11 octobre 2012 [LaCC - E 1 05]).</w:t>
      </w:r>
    </w:p>
    <w:p>
      <w:r>
        <w:t>A/2486/2024 - 6/6 -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