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ATAS/207/2020 vom 9. März 2020</w:t>
      </w:r>
    </w:p>
    <w:p>
      <w:r>
        <w:t>GE Cour de justice, 2020-03-09, FR</w:t>
      </w:r>
    </w:p>
    <w:p>
      <w:r>
        <w:rPr>
          <w:b/>
        </w:rPr>
        <w:t xml:space="preserve">Quelle: </w:t>
      </w:r>
      <w:r>
        <w:t>https://mcp.opencaselaw.ch/entscheid/ge_gerichte_ATAS_207_2020</w:t>
      </w:r>
    </w:p>
    <w:p>
      <w:r>
        <w:t>FR: GE_GERICHTE ATAS/207/2020 du 9 mars 2020</w:t>
      </w:r>
    </w:p>
    <w:p>
      <w:r>
        <w:t>IT: GE_GERICHTE ATAS/207/2020 del 9 marzo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w:t>
      </w:r>
    </w:p>
    <w:p>
      <w:r>
        <w:t>A/1137/2017722/2019 - 12/17 -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A/1137/2017722/2019 - 13/17 -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 rapport du SMR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w:t>
      </w:r>
    </w:p>
    <w:p>
      <w:r>
        <w:rPr>
          <w:b/>
        </w:rPr>
        <w:t>E. 9</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w:t>
      </w:r>
    </w:p>
    <w:p>
      <w:r>
        <w:t>A/1137/2017722/2019 - 14/17 -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 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voir aussi JACQUES-ANDRÉ SCHNEIDER, L'âge et ses limites en matière d'assurance-invalidité, de chômage et de prévoyance professionnelle étendue, in Grenzfälle in der Sozialversicherung, 2015, p. 5).</w:t>
      </w:r>
    </w:p>
    <w:p>
      <w:r>
        <w:rPr>
          <w:b/>
        </w:rPr>
        <w:t>E. 10</w:t>
      </w:r>
    </w:p>
    <w:p>
      <w:r>
        <w:t>a. En l’occurrence, suite à l’arrêt de renvoi de la chambre de céans du 4 décembre 2017, l’intimé a diligenté une expertise orthopédique, dont le rapport a été rendu le 30 novembre 2018. b. Fondée sur les pièces du dossier, des examens d’imagerie récents (radiographies des colonnes cervicale et lombaire du 20 novembre 2018 et une IRM du genou gauche du 26 octobre 2018), relatant les plaintes du recourant, comprenant une anamnèse complète, des constatations cliniques, des diagnostics clairs, une description des limitations fonctionnelles et une appréciation motivée de la capacité de travail du recourant, l’expertise orthopédique du 30 novembre 2018 répond aux réquisits jurisprudentiels précités pour qu’il lui soit reconnu une pleine valeur probante. Selon ses conclusions, le recourant est considéré comme capable de travailler à 100 % dans une activité adaptée à ses limitations fonctionnelles, soit une activité sédentaire ou semi-sédentaire dans laquelle il pourrait alterner la position debout avec la position assise à sa guise. Il devait éviter les métiers qui impliquaient la</w:t>
      </w:r>
    </w:p>
    <w:p>
      <w:r>
        <w:t>A/1137/2017722/2019 - 15/17 - position accroupie ou à genoux et ceux qui impliquaient de monter ou descendre à répétition des escaliers ou des pentes ou de se pencher en avant ou des positions en porte-à-faux. De courts déplacements à plat étaient possibles. En particulier, l’expert a relevé que même si l’état de santé du recourant s’était dégradé depuis 2008, engendrant de nouvelles limitations fonctionnelles depuis l’examen du SMR du Dr I______, le recourant conservait une capacité de travail complète dans une activité bien adaptée à ses limitations. c. Le recourant admet les limitations fonctionnelles retenues par l’expert mais conteste l’existence d’une capacité de travail dans une activité adaptée à celles-ci, principalement en raison de son âge, lequel constitue, selon lui, un obstacle à la possibilité de retrouver un emploi. d. Préalablement, il convient de constater que les limitations fonctionnelles telles que décrites par l’expert orthopédiste n’excluent pas, en elles-mêmes, toute possibilité d’exercer une activité lucrative, un travail sédentaire ou semi-sédentaire, avec alternance de positions étant préconisé par l’expert. En conséquence, même si l’état de santé du recourant s’est péjoré, l’exigibilité est restée identique, comme relevé par l’expert, de sorte qu’il n’existe pas de motif d’aggravation qui permettrait de revenir sur la dernière décision de refus de rente d’invalidité, laquelle constatait un degré d’invalidité de 10 % depuis septembre 2004 (décision de l’intimé du 25 juillet 2008). S’agissant de l’âge du recourant, soit 63 ans au jour de l’expertise orthopédique et de la décision litigieuse, il ne saurait faire obstacle à l’exigibilité d’une activité lucrative exercée à 100 %. En effet, comme relevé par l’intimé, le recourant a été reconnu apte à exercer une activité adaptée à ses limitations fonctionnelles dès septembre 2004 déjà, alors qu’il était âgé de 49 ans. Certes, les limitations fonctionnelles du recourant se sont étendues de telle manière que le 15 novembre 2007, le Dr I______ a ajouté que le recourant ne devait pas non plus effectuer de mouvement répétés de la nuque en flexion-extension, pas d’attitude en extension prolongée et pas de mouvement rapide en rotation de la nuque (avis du SMR du 15 novembre 2007). Une capacité de travail de 100 % a cependant été confirmée dans une activité adaptée dès novembre 2007, alors que le recourant était âgé de 52 ans, soit un âge qui ne permet pas d’exclure toute exigibilité professionnelle au sens de la jurisprudence précitée. En 2018, les limitations fonctionnelles retenues par le Dr Q______ ont augmenté mais le genre d’activité exigible cité est similaire à celui exigible en novembre 2007 (sédentaire ou semi-sédentaire, avec alternance des positions). Il ne justifie ainsi pas de prendre en compte l’âge du recourant au jour de l’expertise du Dr Q______ plutôt qu’en 2007, moment où il lui a été signifié qu’il présentait une capacité de travail dans toute activité adaptée à ses limitations fonctionnelles. En conséquence, c’est à juste titre que l’intimé a estimé que la mise en valeur d’une capacité de travail totale du recourant était toujours exigible en 2018.</w:t>
      </w:r>
    </w:p>
    <w:p>
      <w:r>
        <w:t>A/1137/2017722/2019 - 16/17 -</w:t>
      </w:r>
    </w:p>
    <w:p>
      <w:r>
        <w:rPr>
          <w:b/>
        </w:rPr>
        <w:t>E. 11</w:t>
      </w:r>
    </w:p>
    <w:p>
      <w:r>
        <w:t>Partant, le recours ne peut qu’être rejeté. Etant donné que, depuis le 1er juillet 2006, la procédure n'est plus gratuite (art. 69 al. 1bis LAI), au vu du sort du recours, il y a lieu de condamner le recourant au paiement d'un émolument de CHF 200.-.</w:t>
      </w:r>
    </w:p>
    <w:p>
      <w:r>
        <w:t>A/1137/2017722/2019 - 17/17 -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