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ATAS/207/2012 vom 29. Februar 2012</w:t>
      </w:r>
    </w:p>
    <w:p>
      <w:r>
        <w:t>GE Cour de justice, 2012-02-29, FR</w:t>
      </w:r>
    </w:p>
    <w:p>
      <w:r>
        <w:rPr>
          <w:b/>
        </w:rPr>
        <w:t xml:space="preserve">Quelle: </w:t>
      </w:r>
      <w:r>
        <w:t>https://mcp.opencaselaw.ch/entscheid/ge_gerichte_ATAS_207_2012</w:t>
      </w:r>
    </w:p>
    <w:p>
      <w:r>
        <w:t>FR: GE_GERICHTE ATAS/207/2012 du 29 février 2012</w:t>
      </w:r>
    </w:p>
    <w:p>
      <w:r>
        <w:t>IT: GE_GERICHTE ATAS/207/2012 del 29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dispositions de la LPGA, entrée en vigueur le 1er janvier 2003, sont applicables, dans la mesure où la LAI n’y déroge pas expressément (art. 1 al. 1 LAI).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le droit éventuel aux prestations doit être examiné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En vertu de l’art. 56 LPGA, les décisions sur opposition et celles contre lesquelles la voie de l’opposition n’est pas ouverte sont sujettes à recours (al. 1er). Le recours</w:t>
      </w:r>
    </w:p>
    <w:p>
      <w:r>
        <w:t>A/2187/2011 - 7/18 - peut aussi être formé lorsque l’assureur, malgré la demande de l’intéressé, ne rend pas de décision ou de décision sur opposition (al. 2). Le délai de recours est de 30 jours (art 60 LPGA). Interjeté dans les forme et délai prévus par la loi, le recours est recevable (art. 56 et ss. LPGA ; art. 89B loi sur la procédure administrative, du 12 septembre 1985 - LPA; RS E 5 10).</w:t>
      </w:r>
    </w:p>
    <w:p>
      <w:r>
        <w:rPr>
          <w:b/>
        </w:rPr>
        <w:t>E. 4</w:t>
      </w:r>
    </w:p>
    <w:p>
      <w:r>
        <w:t>L’objet du litige porte sur la question de savoir si l’état de santé de la recourante s’est aggravé dans une mesure justifiant un droit aux prestations de l’assurance- invalidité.</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 RAI; RS 831.201; ATF 109 V 262 consid. 3 p. 264 s.). Cette exigence doit permettre à l'administration qui a précédemment rendu une décision de refus de prestations entrée en force, d'écarter sans plus amples examen de nouvelles demandes dans lesquelles l'assuré se borne à répéter les mêmes arguments, sans alléguer une modification des faits déterminants (ATF 125 V 412 consid. 2b, 117 V 200 consid. 4b et les références).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non publié 9C_412/2010 du 22 février 2011. 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 jurisprudence, aussi bien dans le cadre d'une nouvelle demande au sens de l'art. 87 al. 3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w:t>
      </w:r>
    </w:p>
    <w:p>
      <w:r>
        <w:t>A/2187/2011 - 8/18 -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A/2187/2011 - 9/18 -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w:t>
      </w:r>
    </w:p>
    <w:p>
      <w:r>
        <w:t>A/2187/2011 - 10/18 -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w:t>
      </w:r>
    </w:p>
    <w:p>
      <w:r>
        <w:t>A/2187/2011 - 11/18 -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10</w:t>
      </w:r>
    </w:p>
    <w:p>
      <w:r>
        <w:t>En l’espèce, la recourante allègue, sur la base du rapport d'expertise daté du 2 novembre 2010, que son état de santé s'est progressivement aggravé dès 2006</w:t>
      </w:r>
    </w:p>
    <w:p>
      <w:r>
        <w:t>A/2187/2011 - 12/18 - jusqu'à atteindre une incapacité de travail de 50%. Outre les troubles somatiques énumérés dans l'expertise, elle considère avoir épuisé ses capacités adaptatives d'un point de vue psychiatrique, de sorte qu'elle s'estime légitimée à percevoir une rente et/ou des mesures de réadaptation professionnelle. L'intimé considère au contraire que les diagnostics retenus en 2006 sont identiques à ceux qui ressortent de l'expertise de novembre 2010, seule l'appréciation des experts quant à la répercussion sur la capacité de travail variant. Aussi, dans la mesure où les circonstances sont demeurées inchangées et en l'absence d'une aggravation de l'état de santé de la recourante, il n'y a pas matière à révision de la décision antérieure. Il s'agit dès lors de déterminer, dans un premier temps, si la recourante présente une aggravation de son état de santé suffisamment incapacitante pour ouvrir droit à une rente. Étant donné que la présente cause s'inscrit dans le cadre d'une nouvelle demande au sens de l'art. 87 al. 3 et 4 RAI, il convient de comparer les faits tels qu’ils prévalaient le 24 avril 2006 - date de la dernière décision entrée en force qui reposait sur un examen matériel du droit à la rente avec une constatation des faits pertinents, une appréciation des preuves et une comparaison des revenus conformes au droit -, avec ceux qui existent au moment de la décision litigieuse. Pour rendre sa première décision, confirmée par arrêt du TCAS du 20 septembre 2006, l’intimé s’était fondé sur le rapport de l’expert psychiatre du 20 mars 2006. Ce dernier avait diagnostiqué un syndrome somatoforme douloureux persistant, un état dépressif réactionnel léger, une majoration des symptômes physiques pour des raisons psychologiques et une personnalité anxieuse. Selon l’expert, le trouble somatoforme douloureux ne revêtait pas une intensité telle que l’assurée ne puisse pas travailler et l’incapacité de travail était au maximum de 20%, dans une activité adaptée aux limitations fonctionnelles décrites. Le degré d’invalidité de la recourante était ainsi insuffisant pour ouvrir droit à une rente. La valeur probante de cette expertise ne saurait être remise en question, vu l'arrêt du TCAS du 20 septembre 2006 (ATAS/821/2006). Dans le cadre de la nouvelle demande, la recourante a fait l’objet d’une expertise pluridisciplinaire rendue en date du 2 novembre 2010 par la policlinique médicale universitaire de Lausanne. Sur le plan orthopédique, l'expert a conclu qu'il n'y avait pas d'aggravation objective de l'état de santé de la recourante depuis 2006. Sur le plan psychiatrique, l'expert a retenu en sus d’un syndrome douloureux somatoforme persistant, un état anxieux et des symptômes dépressifs dont la nature, la présentation et la sévérité devaient être différenciées du trouble somatoforme. Il a posé le diagnostic d'épisode dépressif moyen, avec syndrome somatique ainsi qu’une personnalité anxieuse. Procédant de manière consensuelle, les experts ont conclu à une capacité de travail résiduelle de 50% dans une activité adaptée à l’état</w:t>
      </w:r>
    </w:p>
    <w:p>
      <w:r>
        <w:t>A/2187/2011 - 13/18 - de santé, en raison de la présence des troubles de la recourante, étant précisé que pour qu'elle puisse retrouver une activité professionnelle au taux d'occupation précité, l'expertisée devrait bénéficier d'une aide au placement, en raison de la pathologie psychiatrique. De l'avis de la Cour, s'agissant de la valeur probante de la nouvelle expertise, il apparaît qu'elle comprend plusieurs volets, notamment orthopédique, rhumatologique et psychiatrique. Les praticiens, après avoir pris connaissance du dossier médical de la recourante et après l'avoir examinée, ont posé une anamnèse détaillée, ont pris en compte ses plaintes, se sont livrés à une discussion et ont répondu de manière claire et circonstanciée aux questions posées, notamment en ce qui concerne les diagnostics et la capacité de travail. Les conclusions de l'expertise sont motivées et dépourvues de contradictions. Le status psychiatrique est exposé de manière objective, l'expert psychiatre ayant expliqué l'état dépressif d'intensité moyenne présent chez la recourante et en quoi dite dépression est à distinguer du trouble somatoforme douloureux. Par ailleurs, les experts se sont également exprimés sur l'évolution de l'état de santé de l'expertisée et en particulier sur l'aggravation de ses différentes affections dès 2006. Partant, cette expertise répond à tous les réquisits pour lui reconnaître pleine valeur probante. L'intimé ne la conteste d'ailleurs pas.</w:t>
      </w:r>
    </w:p>
    <w:p>
      <w:r>
        <w:rPr>
          <w:b/>
        </w:rPr>
        <w:t>E. 11</w:t>
      </w:r>
    </w:p>
    <w:p>
      <w:r>
        <w:t>Il convient néanmoins de déterminer si les experts se sont, comme le soutient l'intimé, tout simplement livrés à une appréciation différente du cas de la recourante ou si, au contraire, son état de santé s'est significativement aggravé, de sorte qu'elle peut prétendre à des prestations de l'assurance-invalidité.</w:t>
      </w:r>
    </w:p>
    <w:p>
      <w:r>
        <w:rPr>
          <w:b/>
        </w:rPr>
        <w:t>E. 12</w:t>
      </w:r>
    </w:p>
    <w:p>
      <w:r>
        <w:t>En l'occurrence, d'un point de vue purement psychiatrique, si le premier expert a établi que l'état dépressif de la recourante était léger et réactionnel au trouble somatophorme douloureux qu'elle présentait, le deuxième spécialiste a précisé que les symptômes dépressifs étaient à différencier du trouble somatoforme. Il a en particulier établi que la recourante évoquait de manière très différenciée, de la tristesse, des idées noires, de l'irritabilité, de la nervosité, une modification du caractère et des symptômes accompagnés d'angoisses paroxystiques, excédant clairement en intensité ce habituellement rencontré dans le cadre d'un trouble somatoforme douloureux, de sorte que le diagnostic d'épisode dépressif moyen avec syndrome somatique devait être retenu et dissocié du trouble préexistant. Les derniers experts ont par ailleurs considéré une aggravation progressive de l'état psychique de l'expertisée au cours des années, en raison d’un épuisement des capacités adaptatives. De l'avis de la Cour, au vu des explications fournies par les experts dans le cadre de la dernière expertise de novembre 2010 et des éclaircissements contenus dans leur rapport complémentaire du 8 mars 2011, il faut retenir que l'état dépressif n'est pas réactionnel au syndrome somatoforme douloureux présenté par la recourante. Il</w:t>
      </w:r>
    </w:p>
    <w:p>
      <w:r>
        <w:t>A/2187/2011 - 14/18 - constitue une affection autonome et non une comorbidité psychiatrique grave et durable liée au trouble somatoforme douloureux au sens de l'ATF 130 V 352. Pour preuve, il apparaît que l'état dépressif existe déjà de manière significative chez l'intéressée depuis plusieurs années et que son acuité a évolué, passant d'une intensité légère à moyenne. Il doit ainsi être conclu que c'est en raison de cette atteinte que le dernier expert psychiatre a considéré que la recourante présentait une capacité de travail partielle. Ainsi, bien qu'il faille reconnaître que le trouble somatoforme douloureux n'est pas en soi invalidant - absence de comorbidité, de retrait social et d'échec des traitements -, il y a lieu de retenir, au vu de la gravité et de l'acuité de la symptomatologie dépressive (tristesse, idées noires, irritabilité, nervosité, modification du caractère et angoisses paroxystiques), que l'état de santé de la recourante s'est progressivement aggravé au fil des années. En effet, ses ressources psychiques ne subsistent que dans la mesure prévue par l'expert et un effort de volonté pour surmonter ses douleurs et réintégrer le monde du travail n'est exigible de la recourante qu'à hauteur de 50% et ce dans une activité respectant ses limitations somatiques et psychiques. Il convient ainsi d’admettre que l'état de santé de la recourante s'est effectivement péjoré par rapport à la situation qui prévalait lors de la décision initiale et que sa capacité de travail a été réduite en conséquence, à concurrence de 50%.</w:t>
      </w:r>
    </w:p>
    <w:p>
      <w:r>
        <w:rPr>
          <w:b/>
        </w:rPr>
        <w:t>E. 13</w:t>
      </w:r>
    </w:p>
    <w:p>
      <w:r>
        <w:t>Il se justifie dès lors de procéder à la détermination du degré d'invalidité de la recourante, étant rappelé qu'au vu des pièces du dossier, l'intimé l'a précédemment considérée comme une personne active. En vertu de l’art. 28 al. 2 LAI, l’assuré a droit à une rente entière s’il est invalide à 70% au moins, à un trois-quarts de rente s'il est invalide à 60% au moins, à une demi-rente s’il est invalide à 50% au moins, ou à un quart de rente s’il est invalide à 40% au moins. L’art. 16 LPGA s’applique par ailleurs à l’évaluation de l’invalidité des assurés.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14</w:t>
      </w:r>
    </w:p>
    <w:p>
      <w:r>
        <w:t>Il convient ainsi en principe de se placer au moment de la naissance du droit à la rente (ATF 130 V 343 consid. 4).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w:t>
      </w:r>
    </w:p>
    <w:p>
      <w:r>
        <w:t>A/2187/2011 - 15/18 -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15</w:t>
      </w:r>
    </w:p>
    <w:p>
      <w:r>
        <w:t>En vertu des art. 28 al. 1 et 29 al. 1 LAI (en sa teneur en vigueur dès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16</w:t>
      </w:r>
    </w:p>
    <w:p>
      <w:r>
        <w:t>En l'occurrence, pour déterminer le gain sans invalidité, il convient de se référer aux données statistiques (Enquête suisse sur la structure des salaires [ESS]), les données de l’employeur faisant défaut. Pour évaluer le gain d'invalide, il y a également lieu, conformément à une jurisprudence bien établie, de se référer aux ESS lorsque, comme en l'espèce, l'assurée n'a pas repris d'activité lucrative (ATF 126 V 76 consid. 3b/aa et bb; VSI 2002 p. 68 consid. 3b).</w:t>
      </w:r>
    </w:p>
    <w:p>
      <w:r>
        <w:t>A/2187/2011 - 16/18 - Dans le cas qui nous occupe, il est difficile de déterminer avec exactitude le moment à partir duquel l'état de santé de la recourante s'est aggravé, ainsi que d’en mesurer l’ampleur, ne serait-ce qu'au motif que ladite aggravation est intervenue de façon progressive selon les experts. En effet, si dans leur rapport ils ont d'abord estimé que la capacité de travail est diminuée de 50% depuis le 5 décembre 2001 - date de la première demande AI de la recourante - ils ont par la suite expliqué qu'ils n'auraient pas dû faire d'appréciation rétroactive de la capacité de travail. Vu l'évolution de l'état de santé de la recourante, ils ont néanmoins pu estimer que la capacité de travail était déjà réduite en 2004, sans pour autant parvenir à en préciser le taux. Cependant, il apparaît qu'au fil des années, l'état de santé psychique de la recourante s'est progressivement péjoré avec un épuisement de ses capacités adaptatives, de sorte qu'au moment de l'examen clinique et rhumatologique réalisé par les experts - soit le 10 août 2010 - sa capacité de travail était indiscutablement de 50% au plus dans une activité adaptée. La Cour de céans fixera donc la survenance de l'invalidité au jour de l'examen de la recourante par les experts. Le salaire mensuel brut que peuvent réaliser les femmes en 2010 est de 4'225 fr. pour une activité simple et répétitive de 40 heures dans le secteur de la production (ESS 2010, TA 1 niveau 4), soit 4'394 fr. pour 41,6 heures habituelles (La Vie Économique 1/2-2012). Réactualisé à 2011 (année de l’ouverture du droit éventuel à la rente), le salaire est de 4'336 fr. 90 (soit un indice moyen de 1,5% sur les trois premiers trimestres 2011), soit un salaire annuel de 52'042 fr. 55. Étant donné une capacité de travail de 50%, le revenu brut déterminant s'élève à 26'021 fr. 30. Lorsque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l'occurrence, lors de la première demande AI formulée par la recourante, l'intimé avait procédé à un abattement de 10%, pour tenir compte des limitations fonctionnelles de l'intéressée. La Cour de céans n'a pas de motif de s'écarter de cette appréciation aujourd'hui. En conséquence, le salaire d'invalide, après abattement, s'élève à 23'419 fr. 30.</w:t>
      </w:r>
    </w:p>
    <w:p>
      <w:r>
        <w:t>A/2187/2011 - 17/18 - Après comparaison de ce revenu avec celui obtenu sans invalidité, le degré d'invalidité doit être fixé à 55%, ouvrant droit à une demi-rente dès le 1er août 2011 (cf. art. 28 al. b et c LAI) - sous réserve des autres conditions -, ainsi qu’à des mesures d’ordre professionnel, le cas échéant.</w:t>
      </w:r>
    </w:p>
    <w:p>
      <w:r>
        <w:rPr>
          <w:b/>
        </w:rPr>
        <w:t>E. 17</w:t>
      </w:r>
    </w:p>
    <w:p>
      <w:r>
        <w:t>S'agissant en particulier des mesures d'ordre professionnel au sens des art. 15 et ss. LAI, la Cour de céans rappelle que selon l'art. 8 al. 1 LAI, les assurés invalides ou menacés d'une invalidité imminente ont droit aux mesures de réadaptation nécessaires qui sont de nature à rétablir, à maintenir ou à améliorer leur capacité de gain ou leur capacité à accomplir leurs travaux habituels, qu'ils aient ou non exercé une activité lucrative préalable. Dans son précédent arrêt (ATAS/821/2006), le TCAS avait relevé que la recourante avait clairement déclaré, lors d'un entretien avec la division de réadaptation professionnelle, qu'elle n'était pas en état de suivre de telles mesures. Dans le cadre de son recours, la recourante a au contraire expressément et principalement conclu à l'octroi de mesures professionnelles, sans que l'intimé ne se détermine sur l'adéquation de telles mesures. La Cour de céans n'a guère d'autre choix que de renvoyer la présente cause à l'intimé afin qu’il examine quelles mesures entrent en ligne en compte, la recourante ayant manifesté sa volonté de se réinsérer professionnellement, et rende une décision.</w:t>
      </w:r>
    </w:p>
    <w:p>
      <w:r>
        <w:rPr>
          <w:b/>
        </w:rPr>
        <w:t>E. 18</w:t>
      </w:r>
    </w:p>
    <w:p>
      <w:r>
        <w:t>Au vu de ce qui précède, le recours est partiellement admis. La cause est renvoyée à l'intimé pour examen des mesures d'ordre professionnel.</w:t>
      </w:r>
    </w:p>
    <w:p>
      <w:r>
        <w:rPr>
          <w:b/>
        </w:rPr>
        <w:t>E. 19</w:t>
      </w:r>
    </w:p>
    <w:p>
      <w:r>
        <w:t>La recourante, qui obtient partiellement gain de cause, a droit à une indemnité à titre de participation à ses frais et dépens, que la Cour fixe, en l’espèce, à 1'500 fr. (art. 89H de la loi sur la procédure administrative, du 12 septembre 1985 (LPA ; RS E 5 10 ; art. 61 let. g LPGA)).</w:t>
      </w:r>
    </w:p>
    <w:p>
      <w:r>
        <w:rPr>
          <w:b/>
        </w:rPr>
        <w:t>E. 20</w:t>
      </w:r>
    </w:p>
    <w:p>
      <w:r>
        <w:t>Au vu de l’issue du litige, un émolument de 500 fr. est mis à la charge de l’intimé (art. 69 al. 1bis LAI).</w:t>
      </w:r>
    </w:p>
    <w:p>
      <w:r>
        <w:t>A/2187/2011 - 18/18 -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