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ATAS/206/2020 vom 9. März 2020</w:t>
      </w:r>
    </w:p>
    <w:p>
      <w:r>
        <w:t>GE Cour de justice, 2020-03-09, FR</w:t>
      </w:r>
    </w:p>
    <w:p>
      <w:r>
        <w:rPr>
          <w:b/>
        </w:rPr>
        <w:t xml:space="preserve">Quelle: </w:t>
      </w:r>
      <w:r>
        <w:t>https://mcp.opencaselaw.ch/entscheid/ge_gerichte_ATAS_206_2020</w:t>
      </w:r>
    </w:p>
    <w:p>
      <w:r>
        <w:t>FR: GE_GERICHTE ATAS/206/2020 du 9 mars 2020</w:t>
      </w:r>
    </w:p>
    <w:p>
      <w:r>
        <w:t>IT: GE_GERICHTE ATAS/206/2020 del 9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w:t>
      </w:r>
    </w:p>
    <w:p>
      <w:r>
        <w:t>A/2101/2019 - 3/5 -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suppression par l’intimé des PCF et PCC allouées à la recourante.</w:t>
      </w:r>
    </w:p>
    <w:p>
      <w:r>
        <w:rPr>
          <w:b/>
        </w:rPr>
        <w:t>E. 4</w:t>
      </w:r>
    </w:p>
    <w:p>
      <w:r>
        <w:t>a. Selon l’art. 4 al. 1 let. c LPC, les personnes qui ont leur domicile et leur résidence habituelle (art. 13 LPGA) en Suisse ont droit à des prestations complémentaires dès lors qu’elles ont notamment droit à une rente d’invalidité. Selon l’art. 12 al. 1 et 3 LPC, le droit à une prestation complémentaire annuelle prend naissance le premier jour du mois au cours duquel la demande est déposée, pour autant que toutes les conditions légales soient remplies (al. 1). Ce droit s’éteint à la fin du mois au cours duquel l’une des conditions dont il dépend cesse d’être remplie (al. 3). A teneur de l’art. 22 al. 1 et 2 de l’ordonnance sur les prestations complémentaires à l’assurance-vieillesse, survivants et invalidité du 15 janvier 1971 (OPC-AVS/AI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Lors d’une modification de la rente, la nouvelle décision doit porter effet dès le début du mois au cours duquel le droit à la rente s’éteint (art. 25 al. 2 let. a OPC-AVS/AI). b. Selon l’art. 2 al. 1 LPCC, ont droit aux prestations complémentaires cantonales les personnes : a) qui ont leur domicile et leur résidence habituelle sur le territoire de la République et canton de Genève ; b) et qui sont au bénéfice d'une rente de l'assurance- vieillesse et survivants, d'une rente de l'assurance-invalidité, d'une allocation pour impotent de l'assurance-invalidité ou reçoivent sans interruption pendant au moins 6 mois une indemnité journalière de l'assurance-invalidité ; c) ou qui ont droit à des prestations complémentaires fédérales sans être au bénéfice d’une rente de l’assurance- vieillesse et survivants ou de l’assurance-invalidité ; d) et qui répondent aux autres conditions de la présente loi.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w:t>
      </w:r>
    </w:p>
    <w:p>
      <w:r>
        <w:t>A/2101/2019 - 4/5 - naissance le mois au cours duquel la formule de demande de rente a été déposée, mais au plus tôt dès le début du droit à la rente (al. 2). Le droit à une prestation s’éteint à la fin du mois où l’une des conditions dont il dépend n’est plus remplie (al. 3). Selon l’art. 19 LPCC, la prestation est modifiée selon les règles prévues en matière de prestations complémentaires fédérales à l’assurance-vieillesse, survivants et invalidité.</w:t>
      </w:r>
    </w:p>
    <w:p>
      <w:r>
        <w:rPr>
          <w:b/>
        </w:rPr>
        <w:t>E. 5</w:t>
      </w:r>
    </w:p>
    <w:p>
      <w:r>
        <w:t>En l’occurrence, la rente d’invalidité allouée à la recourante a été supprimée au 1er mars 2019, par décision de l’OAI du 25 janvier 2019, laquelle a été déclarée exécutoire nonobstant recours. En conséquence, en application des articles de la LPC et de la LPCC précités, c’est à juste titre que l’intimé a supprimé, au 1er mars 2019, les PCF et PCC allouées jusque-là à la recourante. Le fait que celle-ci ait contesté la décision de l’OAI du 25 janvier 2019 n’a pas d’incidence sur son droit aux prestations complémentaires dès lors que le recours n’a pas d’effet suspensif, de sorte que le droit à la rente d’invalidité n’est pas rétabli. Comme relevé par l’intimé, si un droit à la rente d’invalidité devait être réactivé, à l’issue de la procédure A/800/2019, la recourante pourra, moyennant le respect des conditions légales, solliciter des prestations complémentaires rétroactives. Dans ces conditions, une suspension de la présente procédure, dans l’attente de l’issue de la procédure A/800/2019 ne se justifie pas.</w:t>
      </w:r>
    </w:p>
    <w:p>
      <w:r>
        <w:rPr>
          <w:b/>
        </w:rPr>
        <w:t>E. 6</w:t>
      </w:r>
    </w:p>
    <w:p>
      <w:r>
        <w:t>Au vue de ce qui précède, le recours ne peut qu’être rejeté.</w:t>
      </w:r>
    </w:p>
    <w:p>
      <w:r>
        <w:t>A/2101/2019 - 5/5 -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