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ATAS/206/2019 vom 11. März 2019</w:t>
      </w:r>
    </w:p>
    <w:p>
      <w:r>
        <w:t>GE Cour de justice, 2019-03-11, FR</w:t>
      </w:r>
    </w:p>
    <w:p>
      <w:r>
        <w:rPr>
          <w:b/>
        </w:rPr>
        <w:t xml:space="preserve">Quelle: </w:t>
      </w:r>
      <w:r>
        <w:t>https://mcp.opencaselaw.ch/entscheid/ge_gerichte_ATAS_206_2019</w:t>
      </w:r>
    </w:p>
    <w:p>
      <w:r>
        <w:t>FR: GE_GERICHTE ATAS/206/2019 du 11 mars 2019</w:t>
      </w:r>
    </w:p>
    <w:p>
      <w:r>
        <w:t>IT: GE_GERICHTE ATAS/206/2019 del 11 marzo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 7 février 2008 consid. 1.2).</w:t>
      </w:r>
    </w:p>
    <w:p>
      <w:r>
        <w:t>A/2973/2018 - 11/21 - En l’espèce, la décision querellée concerne le droit aux prestations complémentaires du recourant dès le mois de janvier 2013. Le litige doit donc être examiné sous l’angle des dispositions de la LPC, dans sa teneur en vigueur depuis le 1er janvier 2011.</w:t>
      </w:r>
    </w:p>
    <w:p>
      <w:r>
        <w:rPr>
          <w:b/>
        </w:rPr>
        <w:t>E. 3</w:t>
      </w:r>
    </w:p>
    <w:p>
      <w:r>
        <w:t>En matière de prestations complémentaires fédérales, les décisions sur opposition sont sujettes à recours dans un délai de 30 jours (art. 56 al. 1 et 60 al. 1 LPGA ; cf. également art. 9 de la loi cantonale sur les prestations fédérales complémentaires à l’assurance-vieillesse et survivants et à l’assurance-invalidité, du 14 octobre 1965 LPFC - RS/GE J 4 20) auprès du tribunal des assurances du canton de domicile de l’assuré (art. 58 al. 1 LPGA). S’agissant des prestations complémentaires cantonales, l’art. 43 LPCC ouvre la même voie de droit. Déposé le 3 septembre 2018 contre la décision litigieuse du 29 juin 2018, postée le 2 juillet 2018 et reçue au plus tôt le lendemain, le recours a été interjeté en temps utile, étant relevé que le délai de recours était suspendu du 15 juillet au 15 août inclusivement (art. 38 al. 4 let. b LPGA ; art. 11 let. b LPFC ; art. 43B let. b LPCC). Le recours satisfait, en outre, aux exigences de forme et de contenu prévues par l’art. 61 let. b LPGA. Il sera donc déclaré recevable.</w:t>
      </w:r>
    </w:p>
    <w:p>
      <w:r>
        <w:rPr>
          <w:b/>
        </w:rPr>
        <w:t>E. 4</w:t>
      </w:r>
    </w:p>
    <w:p>
      <w:r>
        <w:t>a. Au préalable, le recourant se plaint d’une violation de son droit d’être entendu, au motif que le manque de motivation des décisions attaquées des 14 mars 2018 et 29 juin 2018 serait grave. b. Ce grief, de nature formelle, doit être examiné en premier lieu (ATF 127 V 431 consid. 3d/aa; ATF 124 V 90 consid. 2 notamment). Selon l’art. 49 al. 3 LPGA, les décisions indiquent les voies de droit. Elles doivent être motivées si elles ne font pas entièrement droit aux demandes des parties. La notification irrégulière d’une décision ne doit entraîner aucun préjudice pour l’intéressé.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Bien que la notification irrégulière d’une décision ne doive entraîner aucun préjudice pour l’intéressé,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w:t>
      </w:r>
    </w:p>
    <w:p>
      <w:r>
        <w:t>A/2973/2018 - 12/21 -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9C_85/2011 du 17 janvier 2012 consid. 4.3 et 9C_791/2010 du 10 novembre 2010 consid. 2.2 ; Ueli KIESER, ATSG-Kommentar, 3ème éd. 2015, p. 652 n. 61 ad art. 49 LPGA; Valérie DEFAGO GAUDIN, in Dupont/Moser-Szeless (éd.), Commentaire romand de la LPGA, p. 598). c. En l’occurrence, même si une violation du droit d’être entendu devait être admise, il y a lieu de constater que celle-ci a été réparée ultérieurement. Il est vrai que la décision litigieuse est très sommairement motivée. Il n’en demeure pas moins qu’en tenant compte des explications de l’intimé du 30 janvier 2019, le recourant a reçu suffisamment d’informations en cours de procédure pour remédier à la motivation lacunaire invoquée. Aussi le grief tiré de la violation du droit d’être entendu ne peut-il être que rejeté. Par conséquent, il y a lieu de se pencher sur le fond du litige.</w:t>
      </w:r>
    </w:p>
    <w:p>
      <w:r>
        <w:rPr>
          <w:b/>
        </w:rPr>
        <w:t>E. 5</w:t>
      </w:r>
    </w:p>
    <w:p>
      <w:r>
        <w:t>a. Dans la procédure juridictionnelle administrative, la décision détermine l'objet de la contestation qui peut être déféré en justice par voie de recours (arrêt du Tribunal fédéral des assurances U 417/05 du 28 septembre 2006 consid. 1.1). Le principe jurisprudentiel selon lequel la décision sur opposition de l'organe de l'assurance sociale fixe la limite temporelle de l'état de fait déterminant (cf. notamment l’ATF 131 V 242 consid. 2.1)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En d’autres termes, l’autorité n’est pas habilitée à rendre une décision sur opposition sur un état de fait sur lequel l'administré n'a pas eu l'occasion de se prononcer. À défaut, ce dernier serait privé de la possibilité de formuler une opposition, ne lui laissant que le choix d'interjeter un recours devant le tribunal cantonal (arrêt 9C_777/2013 précité consid. 5.2.2). b. L'assureur n'est pas lié par les conclusions de l'opposant. Il peut modifier la décision à l'avantage ou au détriment de l'opposant (art. 12 al. 1 de l’ordonnance du Conseil fédéral du 11 septembre 2002 sur la partie générale du droit des assurances sociales ; RS 830.11 – OPGA). Si l'assureur envisage de modifier la décision au</w:t>
      </w:r>
    </w:p>
    <w:p>
      <w:r>
        <w:t>A/2973/2018 - 13/21 - détriment de l'opposant, il donne à ce dernier l'occasion de retirer son opposition (art. 12 al. 2 OPGA). c. En l'occurrence, suite à l’opposition du 5 février 2017, l’intimé a rendu une nouvelle décision le 29 juin 2018, réformant celle du 14 mars 2018 au détriment du recourant. En remplaçant cette dernière, la décision du 29 juin 2018 est devenue l'objet de la contestation de la procédure judiciaire subséquente (arrêt du Tribunal fédéral 9C_6/2010 du 2 juillet 2010 consid. 4). Le litige porte ainsi sur le point de savoir si le recourant est tenu de restituer CHF 18'046.- à l’intimé à titre de prestations complémentaires indûment touchées pour la période du 1er janvier 2013 au 31 mars 2018 visée par la décision du 29 juin 2018, étant constaté que bien qu’elle renvoie également à des plans de calcul étendant la période précitée de trois mois par rapport à la décision du 14 mars 2018 (période du 1er avril 2018 au 30 juin 2018 pour laquelle le recourant a été privé de la possibilité de former opposition), la décision du 29 juin 2018 ne tient en réalité pas compte de cette extension de trois mois dès lors que les CHF 18'046.- réclamés ont été calculés uniquement sur la base de la période du 1er janvier 2013 au 31 mars 2018.</w:t>
      </w:r>
    </w:p>
    <w:p>
      <w:r>
        <w:rPr>
          <w:b/>
        </w:rPr>
        <w:t>E. 6</w:t>
      </w:r>
    </w:p>
    <w:p>
      <w:r>
        <w:t>a. S'agissant des prestations complémentaires fédérales, selon l'art. 25 al. 1 1ère phrase LPGA, en relation avec l'art. 2 al. 1 let. a OPGA, les prestations complémentaires fédérales indûment touchées doivent être restituées par le bénéficiaire ou par ses héritiers. Au niveau cantonal, l'art. 24 al. 1 1ère phrase LPCC prévoit que les prestations indûment touchées doivent être restituées. b. Selon la jurisprudence, cela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appréciations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w:t>
      </w:r>
    </w:p>
    <w:p>
      <w:r>
        <w:t>A/2973/2018 - 14/21 -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7</w:t>
      </w:r>
    </w:p>
    <w:p>
      <w:r>
        <w:t>a. En vertu de l'art. 25 al. 2 LPGA, le droit de demander la restitution s'éteint un an après le moment o l'institution d’assurance a eu connaissance du fait, mais au plus tard cinq ans après le versement de la prestation. Selon la jurisprudence, le délai de péremption relatif d'une année commence à courir dès le moment o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w:t>
      </w:r>
    </w:p>
    <w:p>
      <w:r>
        <w:rPr>
          <w:b/>
        </w:rPr>
        <w:t>E. 8</w:t>
      </w:r>
    </w:p>
    <w:p>
      <w:r>
        <w:t>Sur le plan fédéral,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t>A/2973/2018 - 15/21 - Selon l’art. 11 al. 1 LPC, les revenus déterminants comprennent notamment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 un quinzième de la fortune nette, dans la mesure où elle dépasse CHF 37’500.- (dès le 1er janvier 2011) pour les personnes seules et CHF 15'000.- pour les enfants donnant droit à des rentes pour enfants de l'AVS ou de l'AI; les rentes, pensions et autres prestations périodiques, y compris les rentes de l’AVS et de l’AI (let. d); les allocations familiales (let. f). Quant aux dépenses, elles comprennent notamment, selon l’art. 10 LPC, les montants destinés à la couverture des besoins vitaux, soit CHF 19'210.- pour les personnes seules (CHF 19'290.- dès le 1er janvier 2015) (al. 1 let. a ch. 1) – montant également valable pour les personnes vivant en concubinage (cf. ch. 3222.02 des directives de l'office fédéral des assurances sociales concernant les prestations complémentaires à l’AVS et à l’AI (DPC); CHF 10'035.- (CHF 10'080.- dès le 1er janvier 2015)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(al. 1 let. a ch. 3) ; le loyer d'un appartement et les frais accessoires y relatifs jusqu’à concurrence du montant annuel maximal reconnu, soit CHF 13'200.- pour les personnes seules (al. 1 let. b ch. 1), CHF 15'000.- pour les couples et les personnes qui ont des enfants ayant droit à une rente d'orphelin ou donnant droit à une rente pour enfant de l'AVS ou de l'AI (al. 1 let. b ch. 2) – étant précisé que le loyer est réparti selon l'art. 16c al. 1 de l’ordonnance sur les prestations complémentaires à l'assurance-vieillesse, survivants et invalidité, du 15 janvier 1971 [OPC-AVS/AI – RS 831.301) en cas de concubinage (cf. 3231.03 des DPC) ; les cotisations aux assurances sociales de la Confédération, à l'exclusion des primes d'assurance-maladie (al. 3 let. c); le montant forfaitaire annuel pour l'assurance obligatoire des soins; il doit correspondre au montant de la prime moyenne cantonale ou régionale pour l'assurance obligatoire des soins (couverture accidents comprise) (al. 3 let. d).</w:t>
      </w:r>
    </w:p>
    <w:p>
      <w:r>
        <w:rPr>
          <w:b/>
        </w:rPr>
        <w:t>E. 9</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notamment: les prestations complémentaires fédérales sont</w:t>
      </w:r>
    </w:p>
    <w:p>
      <w:r>
        <w:t>A/2973/2018 - 16/21 - ajoutées au revenu déterminant (let. a) et en dérogation à l'article 11 al. 1 let. c de la loi fédérale, la part de la fortune nette prise en compte dans le calcul du revenu déterminant est de un huitième, et ce après déduction des franchises prévues par cette disposition (let. c). Les dépenses reconnues, quant à elles, sont celles énumérées par la loi fédérale et ses dispositions d'exécution, à l'exclusion du montant destiné à la couverture des besoins vitaux, remplacé par le montant destiné à garantir le revenu minimum cantonal d'aide sociale défini (art. 6 LPCC). Le revenu minimum cantonal d'aide sociale garanti s'élève à CHF 25’555.- (dès le 1er janvier 2013), CHF 25'661.- (dès le 1er janvier 2015), s’il s’agit d’une personne célibataire, veuve, divorcée, dont le partenariat enregistré a été dissous, ou qui vit séparée de son conjoint ou de son partenaire enregistré (art. 3 al. 1 let. a du règlement relatif aux prestations cantonales complémentaires à l'assurance-vieillesse et survivants et à l’assurance- invalidité, du 25 juin 1999 (RPCC-AVS/AI – RS/GE J 4 25.03); à CHF 12’778.- (dès le 1er janvier 2013), CHF 12'831.- (dès le 1er janvier 2015) pour le 1er et 2ème enfant à charge (let. i).</w:t>
      </w:r>
    </w:p>
    <w:p>
      <w:r>
        <w:rPr>
          <w:b/>
        </w:rPr>
        <w:t>E. 10</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b. Cela étant, selon l’art. 25 al. 1 OPC-AVS/AI, la prestation complémentaire annuelle doit être augmentée, réduite ou supprimée lors d’un contrôle périodique,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w:t>
      </w:r>
    </w:p>
    <w:p>
      <w:r>
        <w:t>A/2973/2018 - 17/21 - changement intervient; on peut renoncer à adapter la prestation complémentaire annuelle, lorsque la modification est inférieure à CHF 120.- par an (let. c). c. Selon l’art. 25 al. 2 let. a OPC-AVS/AI, la nouvelle décision doit porter effet, dans les cas prévus par l’al. 1 let. a, en cas de changement au sein d’une communauté de personnes, sans effet sur la rente, dès le début du mois qui suit celui au cours duquel le changement est survenu ;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 VSI 1996 p. 212). Dans un récent arrêt de principe, le Tribunal fédéral a toutefois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w:t>
      </w:r>
    </w:p>
    <w:p>
      <w:r>
        <w:t>A/2973/2018 - 18/21 -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le recourant soutient qu’en vertu de la « décision en force du 31 janvier 2017 », il ne serait plus au bénéfice de prestations complémentaires depuis le 1er octobre 2016. Ainsi, ce serait à tort que la décision litigieuse se fondrait sur la découverte de faits nouveaux relatifs à sa situation économique en 2017 et 2018 pour reconsidérer ou réviser son dossier depuis l’année 2013, consacrant ainsi une violation de l’art. 25 LPGA. En outre, même si l’intimé s’était trompé dans ses décisions initiales, ce ne pourrait être que pour des faits dont il avait connaissance depuis plus d’un an en date du 14 mars 2018. Or, la connaissance par l’intimé de la situation financière et personnelle du recourant pour la période litigieuse, de fin 2013 à fin 2016, n’aurait pas changé depuis l’octroi des prestations, de sorte que le droit à la restitution des prestations serait périmé pour cette période. b. En premier lieu, il sied de relever que les décisions du 31 janvier 2017 ne sont pas entrées en force, le recourant ayant formé opposition à celles-ci le 5 février 2017, ce qui a abouti, sur opposition, à une décision du 18 octobre 2017 admettant partiellement l’opposition et réduisant la demande de remboursement des prestations complémentaires et de subsides d’assurance-maladie de CHF 6'075.- à CHF 5'917, respectivement de CHF 741.40 à CHF 582.40. En second lieu, la décision du 14 mars 2018 faisait suite à la réception par l’intimé, le 14 mars 2018, d’une copie des avis de taxation du recourant pour les années 2010 à 2016 ; il en ressortait que l’AFC avait retenu un salaire brut de CHF 18'853.- et des cotisations sociales à hauteur de CHF 1'345.- pour 2013, ces deux montants étant passés à CHF 6’064.-, respectivement CHF 404.- en 2014, CHF 14'905.-, respectivement CHF 1'058.- en 2015 et CHF 25'114.-, respectivement CHF 1'802.- en 2016, soit des montants différents de ceux qui avaient été pris en compte précédemment par l’intimée. En troisième lieu, il ressort de l’examen de l’ensemble du dossier qu’à la suite de la réception, le 14 mars 2018, des pièces précitées, l’intimé a effectivement révisé – par décision du 14 mars 2018 – ses décisions des 20 février 2013 (période du 1er janvier 2013 au 31 mai 2013), 13 mai 2013 (période du 1er juin 2013 au 31 décembre 2013), 13 décembre 2013 (période du 1er janvier 2014 au 31 décembre 2014), 15 décembre 2014 (période du 1er janvier 2015 au 31 décembre 2015), 11 décembre 2015 (période du 1er janvier 2016 au 31 août 2016) et 18 octobre 2017 (période du 1er septembre 2016 au 31 mars 2017). En outre, selon les deux tableaux figurant dans la décision du 14 mars 2018, reproduisant respectivement le droit rétroactif et les prestations déjà versées, la différence en faveur de l’intimé s’élevait</w:t>
      </w:r>
    </w:p>
    <w:p>
      <w:r>
        <w:t>A/2973/2018 - 19/21 - même à CHF 19'312.- entre janvier 2013 et août 2016 mais avait pu être réduite à CHF 12'174.- à la faveur d’arriérés de PCC dues au recourant du 1er au 30 septembre 2016 (CHF 352.- au lieu de CHF 158.-), d’octobre à décembre 2016 (CHF 1'374.- au lieu de CHF 0.-), de janvier à février 2017 (CHF 916.- au lieu de CHF 0.-), de mars à décembre 2017 (CHF 3'580.- au lieu de CHF 0.-) et de janvier à mars 2018 (CHF 1'074.- au lieu de CHF 0.-). Enfin, dite décision fixait à CHF 358.- par mois le droit aux prestations à venir (PCC), soit à compter du 1er avril 2018. On soulignera encore qu’à la suite de la transmission par le recourant, le 12 avril 2018, de diverses pièces – dont le certificat de salaire 2017 et le décompte d’indemnités de chômage du mois de mars 2018, mentionnant un délai cadre du 1er septembre 2017 au 31 août 2019 –, l’intimé a adressé au recourant, le 7 juin 2018, un avis d’une possible reformatio in pejus, confirmée le 29 juin 2018, portant de CHF 12'174.- à CHF 18'046.- la demande de restitution pour la période du 1er janvier 2013 au 31 mars 2018. c. Au vu de ces éléments, le recourant ne saurait prétendre qu’il n’a plus bénéficié de prestations complémentaires depuis le 1er octobre 2016 ou que la connaissance par l’intimé de sa situation financière et personnelle pour la période litigieuse, de fin 2013 à fin 2016, n’a pas changé depuis l’octroi des prestations. Au contraire, il apparaît que suite à la réception, le 14 mars 2018, d’une copie des avis de taxation du recourant pour les années 2010 à 2016, l’intimé a révisé sur le champ – par décision du 14 mars 2018 – les décisions des 20 février 2013, 13 mai 2013 (période du 1er juin 2013 au 31 décembre 2013), 13 décembre 2013 (période du 1er janvier 2014 au 31 décembre 2014), 15 décembre 2014 (période du 1er janvier 2015 au 31 décembre 2015), 11 décembre 2015 (période du 1er janvier 2016 au 31 août 2016) et 18 octobre 2017 (période du 1er septembre 2016 au 31 mars 2017), ce qu’il était tenu de faire sur la base de ces nouvelles pièces. En agissant de la sorte, l’intimée a réclamé en temps utile, soit dans le délai de péremption relatif d’un an, les prestations versées indûment depuis la décision du 20 février 2013. En revanche, en tant que cette décision octroyait rétroactivement au recourant, pour les mois de janvier et février 2013, CHF 768.- par mois pour les PCF, respectivement CHF 545.- par mois pour les PCC et qu’elle lui allouait ces mêmes montants dès le 1er mars 2013, il y a lieu de constater que le délai de péremption absolu de cinq ans était déjà atteint au moment de l’envoi de la décision du 14 mars 2018 (26 mars 2018), de sorte que l’intimé ne pouvait plus réclamer la restitution de la différence entre les prestations effectivement octroyées pour les trois premiers mois de l’année 2013 et leur montant révisé le 14 mars 2018 (CHF 228.- par mois pour les PCF et CHF 545.- par mois pour les PCC ; montants confirmés dans la décision litigieuse), différence s’établissant à CHF 1'620.- (soit : [768 – 228] x 3).</w:t>
      </w:r>
    </w:p>
    <w:p>
      <w:r>
        <w:rPr>
          <w:b/>
        </w:rPr>
        <w:t>E. 13</w:t>
      </w:r>
    </w:p>
    <w:p>
      <w:r>
        <w:t>Pour le reste, ni le raisonnement qui sous-tend la décision du 14 mars 2018, ni celui qui est à la base de la décision litigieuse ne prêtent le flanc à la critique. En effet, il apparaît correct d’avoir, le 14 mars 2018, sur la base des pièces reçues le même jour, tenu compte de gains d’activité lucrative plus importants entre janvier 2013 et</w:t>
      </w:r>
    </w:p>
    <w:p>
      <w:r>
        <w:t>A/2973/2018 - 20/21 - décembre 2013 et entre janvier 2015 et août 2016, tout comme il est correct d’avoir, le 29 juin 2018, réformé la décision du 14 mars 2018 au détriment du recourant sur la base des pièces transmises le 12 avril 2018, soit le certificat de salaire 2017 et le décompte d’indemnités journalières d’assurance-chômage du mois de mars 2018 faisant état de l’ouverture d’un délai cadre d’indemnisation du 1er septembre 2017 au 31 août 2019. Une partie des prétentions étant cependant prescrite (ci-dessus : consid. 12c), la décision litigieuse sera réformée en ce sens que la créance litigieuse sera réduite de CHF 18'046.- à CHF 16'426.-.</w:t>
      </w:r>
    </w:p>
    <w:p>
      <w:r>
        <w:rPr>
          <w:b/>
        </w:rPr>
        <w:t>E. 14</w:t>
      </w:r>
    </w:p>
    <w:p>
      <w:r>
        <w:t>Compte tenu de ce qui précède, le recours est partiellement admis au sens des considérants.</w:t>
      </w:r>
    </w:p>
    <w:p>
      <w:r>
        <w:rPr>
          <w:b/>
        </w:rPr>
        <w:t>E. 15</w:t>
      </w:r>
    </w:p>
    <w:p>
      <w:r>
        <w:t>Le recourant obtenant partiellement gain de cause, une indemnité de CHF 1'500.- lui sera accordée à titre de participation à ses frais et dépens (art. 61 let. g LPGA). Pour le surplus, la procédure est gratuite.</w:t>
      </w:r>
    </w:p>
    <w:p>
      <w:r>
        <w:t>*****</w:t>
      </w:r>
    </w:p>
    <w:p>
      <w:r>
        <w:t>A/2973/2018 - 21/21 -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