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ATAS/206/2015 vom 17. März 2015</w:t>
      </w:r>
    </w:p>
    <w:p>
      <w:r>
        <w:t>GE Cour de justice, 2015-03-17, FR</w:t>
      </w:r>
    </w:p>
    <w:p>
      <w:r>
        <w:rPr>
          <w:b/>
        </w:rPr>
        <w:t xml:space="preserve">Quelle: </w:t>
      </w:r>
      <w:r>
        <w:t>https://mcp.opencaselaw.ch/entscheid/ge_gerichte_ATAS_206_2015</w:t>
      </w:r>
    </w:p>
    <w:p>
      <w:r>
        <w:t>FR: GE_GERICHTE ATAS/206/2015 du 17 mars 2015</w:t>
      </w:r>
    </w:p>
    <w:p>
      <w:r>
        <w:t>IT: GE_GERICHTE ATAS/206/2015 del 17 marzo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A/3373/2014 - 14/20 -</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En l'espèce, la décision litigieuse du 7 octobre 2014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w:t>
      </w:r>
    </w:p>
    <w:p>
      <w:r>
        <w:rPr>
          <w:b/>
        </w:rPr>
        <w:t>E. 5</w:t>
      </w:r>
    </w:p>
    <w:p>
      <w:r>
        <w:t>Interjeté dans les délai et forme légaux, le recours est recevable (art. 56 et 60 LPGA).</w:t>
      </w:r>
    </w:p>
    <w:p>
      <w:r>
        <w:rPr>
          <w:b/>
        </w:rPr>
        <w:t>E. 6</w:t>
      </w:r>
    </w:p>
    <w:p>
      <w:r>
        <w:t>Le litige a pour objet le droit du recourant à une rente de l'assurance-invalidité, étant précisé que par décision du 23 janvier 2009, confirmée par arrêt du TCAS du</w:t>
      </w:r>
    </w:p>
    <w:p>
      <w:r>
        <w:rPr>
          <w:b/>
        </w:rPr>
        <w:t>E. 7</w:t>
      </w:r>
    </w:p>
    <w:p>
      <w:r>
        <w:t>Quand l'administration entre en matière sur une nouvelle demande [art. 87 al. 3 du règlement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 à-dire comparer les circonstances existant lorsque la nouvelle décision est prise avec celles qui existaient lorsque la dernière décision reposant sur un examen</w:t>
      </w:r>
    </w:p>
    <w:p>
      <w:r>
        <w:t>A/3373/2014 - 15/20 - matériel du droit à la rente est entrée en force (ATF 133 V 108; ATF 130 V 71) pour apprécier si dans l'intervalle est intervenue une modification sensible du degré d'invalidité justifiant désormais l'octroi d'une rente.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 de rente s'il est invalide à 60% au moins, à une demi-rente s'il est invalide à 50% au moins, ou à un quart de rente s'il est invalide à 40% au moins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A/3373/2014 - 16/20 -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10</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U.58/01 du 21 novembre 2001 consid. 5a). Dans un arrêt de principe, le Tribunal fédéral a cependant modifié</w:t>
      </w:r>
    </w:p>
    <w:p>
      <w:r>
        <w:t>A/3373/2014 - 17/20 -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11</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a. En l'occurrence, l'intimé a, par une première décision du 23 janvier 2009, confirmée par arrêt du TCAS du 7 juillet 2009, refusé au recourant le droit à une rente dès lors que la pseudarthrose de l'humérus distal gauche était compatible avec son activité habituelle de peintre en bâtiment et qu'il présentait ainsi une capacité de travail entière depuis toujours. Suite à la nouvelle demande de prestations déposée par le recourant le 19 juin 2012, l'intimé a retenu dans sa décision litigieuse, en se référant aux conclusions de la Dresse Q______, médecin auprès du SMR, qu'en raison de l'aggravation de son atteinte au bras gauche, le recourant présente une incapacité de travail totale dans son activité habituelle, mais une capacité de travail totale dans une activité adaptée, ce que conteste le recourant. b. Sur le plan orthopédique, il n'est pas contestable au vu des pièces versées au dossier, que le recourant, droitier, présente une aggravation de son atteinte au bras gauche entraînant une incapacité de travail totale dans son activité de peintre en bâtiment (rapport du Dr N______ du 5 novembre 2013 et rapport du Dr R______ du 23 janvier 2014). S'agissant de l'activité exigible, seule une activité d'un travailleur monomanuel droit semblait adéquate (Dr R______ rapport du 23 janvier 2014) et la Dresse Q______ a estimé que dans une activité adaptée, la capacité de travail du recourant était entière. La chambre de céans constate toutefois qu'aucune des pièces versées au dossier ne permet de confirmer la capacité résiduelle retenue par la Dresse Q______, et partant, par l'intimé. En effet, aucun des spécialistes en orthopédie ayant examiné le recourant, soit les Drs R______, O______ et M______, ne se sont prononcés sur la question déterminante du taux de la capacité résiduelle du recourant dans une telle</w:t>
      </w:r>
    </w:p>
    <w:p>
      <w:r>
        <w:t>A/3373/2014 - 18/20 - activité, ni sur son rendement. Qui plus est, postérieurement à l'avis de la Dresse Q______, le Dr R______ a constaté une dégradation nette de la situation avec l'apparition des troubles neurologiques sur le territoire du nerf radial, avec des douleurs importantes et des sensations lancinantes, entraînant des troubles du sommeil et pour lesquelles le recourant prend de façon régulière de la morphine (Dr R______ rapport du 23 janvier 2014). Pour ce motif également, on ne saurait, comme l'a fait l'intimé, retenir une capacité de travail entière dans une activité adaptée, en se fondant uniquement sur l'avis du 2 décembre 2013 du SMR. Par ailleurs, s'il apparaît que l'infection VIH est sans répercussion sur la capacité de travail du recourant (rapport du Dr N______ du 24 mai 2013), force est toutefois de relever que ce médecin a indiqué que le recourant présente une résistance physique limitée, ce qui, au demeurant, a été constaté à plusieurs reprises par les EPI (rapport du 30 juin 2014, p. 8, 10 et 13). Or, aucune pièce au dossier ne permet de déterminer si cette faible résistance physique entraîne une répercussion sur la capacité de travail résiduelle du recourant ou sur son rendement. On relèvera encore que le Dr N______ estimait nécessaire d'évaluer le recourant sur le plan neuropsychologique dès lors qu'une telle évaluation pouvait, selon lui, révéler des troubles cognitifs limitant encore davantage la capacité de travail du recourant (rapport du 5 novembre 2013). Or, cette évaluation n'a pas été effectuée alors que le recourant s'est plaint notamment d'une mémoire déficiente (rapport des EPI du 30 juin 2014, p. 6). La chambre de céans ne peut ainsi déterminer, en l'état du dossier, si le recourant présente effectivement des troubles cognitifs, et le cas échéant, s'ils ont des répercussions sur sa capacité de travail. Enfin, s'agissant des problèmes de comportement du recourant pendant le stage d'orientation professionnelle et le stage d'entraînement aux activités industrielles légères, la chambre de céans rappellera que les experts psychiatriques avaient notamment diagnostiqué, dans leur rapport du 30 octobre 2008, des modifications durables de la personnalité du recourant se traduisant par des difficultés relationnelles et un retrait social limitant sa capacité d'intégration socio- professionnelle et favorisant l'inobservation des prescriptions médicales. A cet égard, le TCAS avait retenu dans son arrêt du 7 juillet 2009 que moyennant une prise en charge psychiatrique et psychothérapeutique et l'adaptation de l'environnement professionnel aux limitations socio-professionnelles, la capacité de travail du recourant n'était pas entravée de manière importante (ATAS/881/2009). Or, aucune pièce au dossier ne permet de déterminer si le recourant a suivi un tel traitement, et le cas échéant, quel en a été le résultat. Il conviendrait également de déterminer si les problèmes de comportement du recourant pendant les mesures professionnelles sont dus aux troubles psychiques constatés par les experts. c. Compte tenu de l'ensemble de ces éléments, force est de constater que la chambre de céans n'est pas en mesure de statuer en l'état actuel du dossier, dès lors qu'il ne contient pas les éléments suffisants et probants permettant une appréciation adéquate des atteintes à la santé dont souffre le recourant, leurs éventuelles</w:t>
      </w:r>
    </w:p>
    <w:p>
      <w:r>
        <w:t>A/3373/2014 - 19/20 - limitations fonctionnelles et répercussions sur sa capacité de travail résiduelle, et partant, sur son degré d’invalidité.</w:t>
      </w:r>
    </w:p>
    <w:p>
      <w:r>
        <w:rPr>
          <w:b/>
        </w:rPr>
        <w:t>E. 13</w:t>
      </w:r>
    </w:p>
    <w:p>
      <w:r>
        <w:t>Il convient dès lors de renvoyer la cause à l'intimé afin qu'il ordonne un complément d'instruction sous la forme notamment d'une expertise médicale indépendante auprès de médecins spécialisés en orthopédie, en neuropsychologie, en psychiatrie et en infectiologie. Les conditions jurisprudentielles d’un tel renvoi sont d’autant plus remplies qu'aucune expertise de ces troubles n'a été réalisée par l’intimé dans le cadre de la deuxième demande de prestations. Il appartiendra ensuite à l'intimé d'évaluer le taux d'invalidité et de rendre une nouvelle décision.</w:t>
      </w:r>
    </w:p>
    <w:p>
      <w:r>
        <w:rPr>
          <w:b/>
        </w:rPr>
        <w:t>E. 14</w:t>
      </w:r>
    </w:p>
    <w:p>
      <w:r>
        <w:t>Vu ce qui précède, le recours sera admis, la décision querellée annulée et le dossier renvoyé à l'autorité administrative afin qu'elle procède conformément aux considérants.</w:t>
      </w:r>
    </w:p>
    <w:p>
      <w:r>
        <w:rPr>
          <w:b/>
        </w:rPr>
        <w:t>E. 15</w:t>
      </w:r>
    </w:p>
    <w:p>
      <w:r>
        <w:t>Le recourant, qui est représenté et qui obtient gain de cause, a droit à une indemnité de CHF 1'500.- à titre de participation à ses frais et dépens (art. 61 let. g LPGA ; art. 89 H de la loi sur la procédure administrative du 12 septembre 1985 [LPA - E 5 10]; art. 6 du règlement sur les frais, émoluments et indemnités en procédure administrative du 30 juillet 1986 [RFPA - E 5 10.03]).</w:t>
      </w:r>
    </w:p>
    <w:p>
      <w:r>
        <w:rPr>
          <w:b/>
        </w:rPr>
        <w:t>E. 16</w:t>
      </w:r>
    </w:p>
    <w:p>
      <w:r>
        <w:t>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w:t>
      </w:r>
    </w:p>
    <w:p>
      <w:r>
        <w:t>A/3373/2014 - 20/20 -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