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ATAS/206/2006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https://mcp.opencaselaw.ch/entscheid/ge_gerichte_ATAS_206_2006</w:t>
      </w:r>
    </w:p>
    <w:p>
      <w:r>
        <w:t>FR: GE_GERICHTE ATAS/206/2006 du 15 février 2006</w:t>
      </w:r>
    </w:p>
    <w:p>
      <w:r>
        <w:t>IT: GE_GERICHTE ATAS/206/2006 del 15 febbraio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!C%&amp;(!B!!8</w:t>
      </w:r>
    </w:p>
    <w:p>
      <w:r>
        <w:t>B::</w:t>
      </w:r>
    </w:p>
    <w:p>
      <w:r>
        <w:t>L(</w:t>
      </w:r>
    </w:p>
    <w:p>
      <w:r>
        <w:t>&amp;(!</w:t>
      </w:r>
    </w:p>
    <w:p>
      <w:r>
        <w:t>%:'(%&amp;!E!!!:&amp;H%!%B::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