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ATAS/205/2026 vom 12. März 2026</w:t>
      </w:r>
    </w:p>
    <w:p>
      <w:r>
        <w:t>GE Cour de justice, 2026-03-12, FR</w:t>
      </w:r>
    </w:p>
    <w:p>
      <w:r>
        <w:rPr>
          <w:b/>
        </w:rPr>
        <w:t xml:space="preserve">Quelle: </w:t>
      </w:r>
      <w:r>
        <w:t>https://mcp.opencaselaw.ch/entscheid/ge_gerichte_ATAS_205_2026</w:t>
      </w:r>
    </w:p>
    <w:p>
      <w:r>
        <w:t>FR: GE_GERICHTE ATAS/205/2026 du 12 mars 2026</w:t>
      </w:r>
    </w:p>
    <w:p>
      <w:r>
        <w:t>IT: GE_GERICHTE ATAS/205/2026 del 12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le délai prévu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A/2760/2025 - 5/9 -</w:t>
      </w:r>
    </w:p>
    <w:p>
      <w:r>
        <w:rPr>
          <w:b/>
        </w:rPr>
        <w:t>E. 2.2</w:t>
      </w:r>
    </w:p>
    <w:p>
      <w:r>
        <w:t>En l’occurrence, un éventuel droit à une rente d’invalidité naîtrait au plus tôt en avril 2025, soit six mois après le dépôt de la demande du 16 octobre 2024 (cf. art. 29 al. 1 LAI), de sorte que les dispositions légales applicables seront citées dans leur nouvelle teneur.</w:t>
      </w:r>
    </w:p>
    <w:p>
      <w:r>
        <w:rPr>
          <w:b/>
        </w:rPr>
        <w:t>E. 3</w:t>
      </w:r>
    </w:p>
    <w:p>
      <w:r>
        <w:t>Le litige porte sur le droit du recourant à d’éventuelles prestations de l’assurance- invalidité, plus particulièrement sur l’existence d’une atteinte à la santé invalidante au sens de la loi.</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rPr>
          <w:b/>
        </w:rPr>
        <w:t>E. 4.5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A/2760/2025 - 6/9 -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4.5.1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4.5.2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w:t>
      </w:r>
    </w:p>
    <w:p>
      <w:r>
        <w:t>A/2760/2025 - 7/9 -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4.7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5</w:t>
      </w:r>
    </w:p>
    <w:p>
      <w:r>
        <w:t>En l’espèce, la décision litigieuse repose sur l’avis du SMR qui, après examen des différents rapports recueillis auprès des médecin et psychiatre traitants, a conclu à l’absence de limitation fonctionnelle et d’atteinte à la santé invalidante.</w:t>
      </w:r>
    </w:p>
    <w:p>
      <w:r>
        <w:t>A/2760/2025 - 8/9 - Le recourant, dans la très brève motivation de son recours, se contente d’invoquer l’atteinte à son poignet gauche. Cela étant, ainsi que l’a relevé le SMR, une telle atteinte, susceptible de guérir en l’espace de quelques mois (trois à six tout au plus), ne saurait être qualifiée d’invalidante au sens de la loi. Pour le surplus, on relèvera que les autres atteintes somatiques ont également toutes guéri sans laisser de séquelles. Enfin, sur le plan psychique, le médecin traitant, s’il fait état d’un état dépressif sévère, conclut pourtant à l’absence de toute limitation fonctionnelle. Le psychiatre ne confirme d’ailleurs pas le diagnostic évoqué par le médecin traitant et il ressort de ses explications que ce sont des facteurs psychosociaux qui se trouvent au premier plan. Pas plus que le médecin traitant, le psychiatre ne conclut à une incapacité de travail. Eu égard aux considérations qui précèdent, la décision litigieuse de nier l’existence de toute atteinte à la santé invalidante s’avère justifiée et le recours manifestement infondé. Il est donc rejeté.</w:t>
      </w:r>
    </w:p>
    <w:p>
      <w:r>
        <w:t>***</w:t>
      </w:r>
    </w:p>
    <w:p>
      <w:r>
        <w:t>A/2760/2025 - 9/9 -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