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ATAS/205/2020 vom 9. März 2020</w:t>
      </w:r>
    </w:p>
    <w:p>
      <w:r>
        <w:t>GE Cour de justice, 2020-03-09, FR</w:t>
      </w:r>
    </w:p>
    <w:p>
      <w:r>
        <w:rPr>
          <w:b/>
        </w:rPr>
        <w:t xml:space="preserve">Quelle: </w:t>
      </w:r>
      <w:r>
        <w:t>https://mcp.opencaselaw.ch/entscheid/ge_gerichte_ATAS_205_2020</w:t>
      </w:r>
    </w:p>
    <w:p>
      <w:r>
        <w:t>FR: GE_GERICHTE ATAS/205/2020 du 9 mars 2020</w:t>
      </w:r>
    </w:p>
    <w:p>
      <w:r>
        <w:t>IT: GE_GERICHTE ATAS/205/2020 del 9 marzo 2020</w:t>
      </w:r>
    </w:p>
    <w:p>
      <w:pPr>
        <w:pStyle w:val="Heading2"/>
      </w:pPr>
      <w:r>
        <w:t>Erwägungen</w:t>
      </w:r>
    </w:p>
    <w:p>
      <w:r>
        <w:rPr>
          <w:b/>
        </w:rPr>
        <w:t>E. 10</w:t>
      </w:r>
    </w:p>
    <w:p>
      <w:r>
        <w:t>Dans sa réplique du 13 janvier 2020, le recourant a persisté dans ses conclusions. Était notamment annexée à cette dernière, une requête commune en divorce. Il n’avait plus aucun contact avec son épouse depuis plusieurs mois, à l’exception des contacts strictement nécessaires au règlement du divorce, par l’intermédiaire de leur conseil réciproque. Les contacts entre les époux étaient conflictuels, de sorte qu’il n’existait aucun risque d’une reprise de la vie commune. Il était impossible pour lui d’être réengagé par la société de son épouse. Depuis son licenciement, il avait effectué de nombreuses recherches d’emploi. Il avait suivi également plusieurs cours et des séances de coaching professionnel.</w:t>
      </w:r>
    </w:p>
    <w:p>
      <w:r>
        <w:rPr>
          <w:b/>
        </w:rPr>
        <w:t>E. 11</w:t>
      </w:r>
    </w:p>
    <w:p>
      <w:r>
        <w:t>Par duplique du 13 février 2020, l’intimée a relevé que tant que les liens matrimoniaux subsistaient, le droit à une indemnité de chômage ne pouvait pas prendre naissance en raison du risque de contournement de la loi et cela même lorsque la volonté de divorcer des conjoints vivant séparés depuis longtemps apparaissait absolument déterminée.</w:t>
      </w:r>
    </w:p>
    <w:p>
      <w:r>
        <w:rPr>
          <w:b/>
        </w:rPr>
        <w:t>E. 12</w:t>
      </w:r>
    </w:p>
    <w:p>
      <w:r>
        <w:t>Sur quoi, la cause a été gardée à juger.</w:t>
      </w:r>
    </w:p>
    <w:p>
      <w:r>
        <w:t>A/3062/2019 - 4/7 -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droit du recourant aux prestations du chômage. 4.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5.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 6. a.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w:t>
      </w:r>
    </w:p>
    <w:p>
      <w:r>
        <w:t>A/3062/2019 - 5/7 - définitivement tout lien avec la société. Dans un cas comme dans l’autre, l’intéressé peut en principe prétendre à des indemnités de chômage. 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(arrêt du Tribunal fédéral des assurances C 175/04 du 29 novembre 2005 consid. 3.2).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du code des obligations [CO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 b. La jurisprudence étend l’exclusion du conjoint du droit à l’indemnité en cas de réduction de l’horaire de travail (art. 31 al. 3 let. b LACI) au droit à l’indemnité dechômage.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 du Tribunal fédéral 8C_163/2016 du 17 octobre 2016 consid 4.2 ; arrêt du Tribunal fédéral 8C_231/2012 du 16 août 2012 ; Boris RUBIN, Commentaire de la loi sur l’assurance-chômage, 2014, n. 24 ss ad art. 10).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8C_163/2016 du 17 octobre 2016 consid 4.2 ; arrêt du Tribunal fédéral 8C_295 2014 du 7 avril 2015 consid. 4 ; arrêt du Tribunal fédéral des assurances C 156/06 du 7 décembre 2006 consid. 2).</w:t>
      </w:r>
    </w:p>
    <w:p>
      <w:r>
        <w:t>A/3062/2019 - 6/7 - Les prestations de l’assurance-chômage ne sont dues qu’une fois le jugement de divorce prononcé, indépendamment du point de savoir si et depuis combien de temps les conjoints vivent séparés de fait ou de droit ou si des mesures de protection de l'union conjugale ont été ordonnées, même si la volonté de divorcer des conjoints vivant séparés depuis longtemps apparaît absolument déterminée (ATF 142 V 263 consid. 5.2.2 ; arrêt du Tribunal fédéral 8C_574/2017 du 4 septembre 2018). 7. En l’espèce, la société C______ SA est toujours en activité et l’épouse du recourant en est l’administratrice. En application de la jurisprudence précitée, le recourant, bien qu’il soit séparé de son épouse, qu’il soit en instance de divorce avec cette dernière et qu’il n’ait plus de contact avec elle - à l’exception de ceux strictement nécessaires au règlement du divorce, par le biais de leurs conseils réciproques - n’a pas droit aux indemnités de chômage tant qu’il ne sera pas formellement divorcé de son épouse, comme la jurisprudence précitée l’exige. 8. En conséquence, le recours ne peut qu’être rejeté. La procédure est gratuite (art. 61 let. a LPGA).</w:t>
      </w:r>
    </w:p>
    <w:p>
      <w:r>
        <w:t>A/3062/2019 - 7/7 -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