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ATAS/205/2012 vom 28. Februar 2012</w:t>
      </w:r>
    </w:p>
    <w:p>
      <w:r>
        <w:t>GE Cour de justice, 2012-02-28, FR</w:t>
      </w:r>
    </w:p>
    <w:p>
      <w:r>
        <w:rPr>
          <w:b/>
        </w:rPr>
        <w:t xml:space="preserve">Quelle: </w:t>
      </w:r>
      <w:r>
        <w:t>https://mcp.opencaselaw.ch/entscheid/ge_gerichte_ATAS_205_2012</w:t>
      </w:r>
    </w:p>
    <w:p>
      <w:r>
        <w:t>FR: GE_GERICHTE ATAS/205/2012 du 28 février 2012</w:t>
      </w:r>
    </w:p>
    <w:p>
      <w:r>
        <w:t>IT: GE_GERICHTE ATAS/205/2012 del 28 febbraio 2012</w:t>
      </w:r>
    </w:p>
    <w:p>
      <w:pPr>
        <w:pStyle w:val="Heading2"/>
      </w:pPr>
      <w:r>
        <w:t>Erwägungen</w:t>
      </w:r>
    </w:p>
    <w:p>
      <w:r>
        <w:rPr>
          <w:b/>
        </w:rPr>
        <w:t>E. 14</w:t>
      </w:r>
    </w:p>
    <w:p>
      <w:r>
        <w:t>Dans sa réponse du 9 novembre 2011, l'intimé a conclu au rejet du recours, estimant que le rapport bidisciplinaire du SMR du 30 mars 2011 était détaillé et se fondait sur une étude attentive du dossier. Il tenait compte des plaintes exprimées par la recourante, de sa situation médicale dans son ensemble - aussi bien objectivement que subjectivement - et reposait sur des examens complets. Les points de vue du médecin traitant et des spécialistes du SMR ne divergeaient que sur l'étendue de la capacité résiduelle de travail, sans qu'aucun élément objectif ne permette de douter des conclusions du SMR; les diagnostics étaient les mêmes, seule la gravité était appréciée différemment. Le marché du travail offrait enfin un large éventail d'activités légères dont un nombre significatif était adapté aux</w:t>
      </w:r>
    </w:p>
    <w:p>
      <w:r>
        <w:t>A/3130/2011 - 5/12 - limitations fonctionnelles de la recourante et accessibles sans formation particulière.</w:t>
      </w:r>
    </w:p>
    <w:p>
      <w:r>
        <w:rPr>
          <w:b/>
        </w:rPr>
        <w:t>E. 15</w:t>
      </w:r>
    </w:p>
    <w:p>
      <w:r>
        <w:t>Dans sa réplique du 8 décembre 2011, la recourante a conclu à l'octroi d'une rente d'invalidité, à la prise en charge de mesures de réadaptation professionnelle et à la mise en œuvre d'une contre-expertise rhumatologique. Elle a reproché à l'intimé de n'avoir pas retenu que les diagnostics de composante épicondylite droite chronique et de trouble dépressif récurent, épisode actuel moyen sans syndrome somatique avaient une répercussion durable sur sa capacité de travail. Elle a expliqué qu'elle peinait à utiliser son membre supérieur droit, compte tenu de l'épicondylite chronique, et qu'elle n'avait jamais vraiment repris d'activité lucrative - exception faite de quatre jours sur une buvette en 2008 -, bien que son assurance accidents ait considéré qu'elle avait récupéré toute sa capacité de travail dès 2007. Il était également erroné de retenir une capacité totale de travailler dans une activité adaptée à ses limitations fonctionnelles, le SMR ayant lui-même exprimé des doutes sur la possibilité de traduire lesdites limitations en termes de métier. S'agissant plus particulièrement des activités proposées par l'intimé, la profession de vendeuse n'était évidemment pas adaptée, puisqu'elle exigeait de rester debout de longues périodes et de faire des flexions-extensions pour ranger la marchandise. L'instruction de la cause n'avait donc pas démontré quel métier elle pourrait effectivement exercer. Quelle que soit la profession envisagée, une diminution de rendement devait être retenue dans son cas, compte tenu notamment de son âge et des limitations fonctionnelles décrites.</w:t>
      </w:r>
    </w:p>
    <w:p>
      <w:r>
        <w:rPr>
          <w:b/>
        </w:rPr>
        <w:t>E. 16</w:t>
      </w:r>
    </w:p>
    <w:p>
      <w:r>
        <w:t>Le 9 janvier 2012, l'intimé a confirmé sa position. Les diagnostics de composante épicondylite droite chronique et de trouble dépressif récurrents avaient été examinés et il avait été expliqué de manière convaincante pourquoi ils n'étaient pas susceptibles d'entraver la capacité de travail de la recourante. Celle-ci ne pouvait pas trouver argument du fait que l'expert ne s'était pas déterminé sur le choix d'une activité, cela n'entrant pas dans le cadre de sa mission, laquelle consistait à fixer la capacité de travail et les limitations fonctionnelles. Or, sur ces points, l'expert s'était prononcé de manière précise et convaincante. Il apparaissait dès lors superflu d'administrer d'autres preuves, la situation médicale de la recourante ayant été investiguée à satisfaction de droit. Le secteur de la production et des services recouvrait d'ailleurs un large éventail d'activités adaptées aux handicaps de la recourante, c'est-à-dire légères, permettant l'alternance des positions et accessibles sans formation particulière</w:t>
      </w:r>
    </w:p>
    <w:p>
      <w:r>
        <w:rPr>
          <w:b/>
        </w:rPr>
        <w:t>E. 17</w:t>
      </w:r>
    </w:p>
    <w:p>
      <w:r>
        <w:t>Sur quoi, la cause a été gardée à juger. EN DROIT 1. Conformément à l'art. 134 al. 1 let. a ch. 2 de la loi sur l'organisation judiciaire, du 26 septembre 2010 (LOJ; RS E 2 05) en vigueur dès le 1er janvier 2011, la Chambre</w:t>
      </w:r>
    </w:p>
    <w:p>
      <w:r>
        <w:t>A/3130/2011 - 6/12 -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entrée en vigueur le 1er janvier 2003, et les modifications de la loi fédérale sur l'assurance-invalidité du 6 octobre 2006 (5ème révision), entrées en vigueur le 1er janvier 2008, sont applicables au cas d'espèce. 3. Le délai de recours est de 30 jours (art. 60 al. 1 LPGA). Interjeté dans la forme et le délai prévus par la loi, le recours est recevable, en vertu des art. 56ss LPGA. 4. Le litige porte sur le droit de la recourante à des prestations de l'assurance invalidité. 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2 LAI, l’assuré a droit à une rente entière s’il est invalide à 70% au moins, à un trois-quarts de rente s'il est invalide à 60% au moins, à une demi-rente s’il est invalide à 50% au moins, ou à un quart de rente s’il est invalide à 40% au moins.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w:t>
      </w:r>
    </w:p>
    <w:p>
      <w:r>
        <w:rPr>
          <w:b/>
        </w:rPr>
        <w:t>E. 19</w:t>
      </w:r>
    </w:p>
    <w:p>
      <w:r>
        <w:t>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w:t>
      </w:r>
    </w:p>
    <w:p>
      <w:r>
        <w:t>A/3130/2011 - 7/12 -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A/3130/2011 - 8/12 -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la recourante conteste que les diagnostics de composante épicondylite droite chronique et de trouble dépressif récurent, épisode actuel moyen sans syndrome somatique n'aient pas été retenus comme ayant une répercussion durable sur sa capacité de travail. Elle expose qu'en raison des affections dont elle souffre, elle n'a plus repris le travail, bien que son assureur-accidents ait considéré qu'elle était apte à reprendre son activité dès le 10 décembre 2007. L'intimé considère quant à lui que si l'activité antérieure n'est plus exigible en raison des limitations fonctionnelles engendrées par son hernie discale, la recourante conserve néanmoins une pleine capacité de travail dans une activité adaptée. L'analyse de son médecin</w:t>
      </w:r>
    </w:p>
    <w:p>
      <w:r>
        <w:t>A/3130/2011 - 9/12 - traitant ne permettrait donc pas de jeter le doute sur les conclusions résultant de l'examen bidisciplinaire effectué par le SMR. Figurent au dossier les rapports du Dr C__________ et du SMR. Selon le médecin traitant de la recourante, celle-ci présente une hernie discale L5-S1 droite et une dépression réactionnelle depuis 2006 l'empêchant de reprendre une quelconque activité professionnelle. Si le SMR retient les mêmes diagnostics que le Dr C__________, il ne considère néanmoins pas que le trouble dépressif moyen dont souffre la recourante soit invalidant. Il s'agit dès lors de déterminer si l'analyse bidisciplinaire du SMR revêt valeur probante et/ou si les conclusions du médecin traitant permettent de s'en écarter. L'analyse du SMR comprend deux volets, psychiatrique et rhumatologique. Elle se fonde sur les pièces du dossier mais également sur des constatations objectivées lors d'une consultation. Une anamnèse détaillée y est établie sur les plans professionnel, psychosocial et psychiatrique. Le SMR a recueilli et retranscrit les plaintes de la recourante. Sur le fond, les diagnostics sont clairement posés. S'agissant en particulier du diagnostic de trouble dépressif récurrent d'intensité moyenne, le SMR explique en quoi il n'est pas susceptible d'amoindrir la capacité de travail de la recourante. Il précise en effet que, malgré une humeur moyennement baissée et une réduction de l'énergie entraînant une augmentation de la fatigabilité, il n'y a pas de diminution réelle de l'activité - l'intéressée s'occupant de plusieurs membres de sa famille et en particulier de sa mère - de l'intérêt et du plaisir. Selon les dires de la recourante, elle conserve en effet un certain nombre d'activités comme la lecture, les puces et la brocante, les jeux de cartes et les mots croisés. Ses difficultés sont avant tout d'ordre socio-économique; la recourante vit très mal le fait d'émarger à l'assurance sociale. Aussi, si les problèmes psychiatriques de la recourante sont réels, ils ne sont pas jugés incapacitants. En ce qui concerne l'hernie discale L5-S1 droite, le SMR explique les limitations fonctionnelles qui en découlent et fixe la capacité de travail résiduelle en lien avec celles-ci. Son appréciation ne prête pas le flanc à la critique. Le rapport bidisciplinaire du SMR doit se voir reconnaître une pleine valeur probante, puisqu’il remplit les exigences développées par le Tribunal fédéral décrites ci-dessus. En particulier ses conclusions sont motivées de manière convaincante, et les rapports du médecin traitant de la recourante - qui sont extrêmement brefs et très peu motivés - ne suffisent pas à remettre en cause les conclusions de l'expert. À l'instar du SMR, il y a dès lors lieu d'admettre que, tant sur le plan psychiatrique que physique, la mise à profit de la capacité de travail de la recourante peut être raisonnablement exigée d'elle. La Cour de céans précise qu'elle est néanmoins perplexe car elle constate que le médecin traitant, dans son premier rapport, a retenu que le diagnostic de tendinite chronique au bras droit avec perte de fonction partielle dont souffre la recourante</w:t>
      </w:r>
    </w:p>
    <w:p>
      <w:r>
        <w:t>A/3130/2011 - 10/12 - est sans répercussion sur sa capacité de travail. Elle n'a néanmoins pas d'autre choix que de se rallier à cette position. S'agissant du calcul d'invalidité, la Cour de céans se ralliera aux développements de l'intimé, étant précisé que la recourante n'en conteste pas la teneur et que les pièces versées au dossier ne fournissent pas des données fiables sur son salaire sans atteinte à l'intégrité. Il s'ensuit que la recourante dispose d'une pleine capacité de travail dans une activité adaptée à ses limitations fonctionnelles. Il apparaît néanmoins que l'intimé a erré, en proposant à la recourante de reprendre une activité telle que celle de vendeuse ou d'assistante en pharmacie. En effet, au vu des importantes limitations fonctionnelles de l'intéressée - notamment impossibilité de porter des charges supérieures à 3kg et de rester debout plus de 30 minutes - et de son absence de formation, il n'apparaît pas que l'on puisse raisonnablement exiger d'elle qu'elle accède à l'un ou l'autre de ses métiers. 10. En l’absence de désignation des activités compatibles avec les limitations du recourant, le Tribunal fédéral a jugé qu'il était certainement judicieux que l'office AI donne au recourant, à titre d'information, des exemples d'activités adaptées qu'il peut encore exercer, mais qu’il convenait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11. Pour autant, l'article 15 LAI dispose que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w:t>
      </w:r>
    </w:p>
    <w:p>
      <w:r>
        <w:t>A/3130/2011 - 11/12 - 12. En l'occurrence, il ressort du présent dossier que la recourante rencontre d'importantes difficultés à se déterminer sur une activité qui soit en adéquation avec son état de santé. Une mesure d'orientation professionnelle semble sans nul doute la solution la plus appropriée pour l'aider à déterminer quel type d'activité elle peut encore exercer en tenant compte de ses limitations fonctionnelles et de ses aptitudes. 13. Eu égard à ce qui précède, le recours sera partiellement admis et la cause renvoyée à l'intimé pour mise en œuvre d'une mesure d'orientation professionnelle. 14. La procédure de recours en matière de contestation pour l'octroi ou le refus de prestations de l'AI étant soumise à des frais de justice (art. 69 al. 1bis LAI), un émolument de 200 fr. sera mis à la charge de l'intimé. Par ailleurs, la recourante obtenant partiellement gain de cause, une indemnité de 1'000 fr. lui est allouée à titre de dépens (art. 61 let. g LPGA; art. 89H al. 3 de la loi sur la procédure administrative, du 12 septembre 1985 - LPA; RS E 5 10).</w:t>
      </w:r>
    </w:p>
    <w:p>
      <w:r>
        <w:t>A/3130/2011 - 12/12 -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