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ATAS/204/2024 vom 27. März 2024</w:t>
      </w:r>
    </w:p>
    <w:p>
      <w:r>
        <w:t>GE Cour de justice, 2024-03-27, FR</w:t>
      </w:r>
    </w:p>
    <w:p>
      <w:r>
        <w:rPr>
          <w:b/>
        </w:rPr>
        <w:t xml:space="preserve">Quelle: </w:t>
      </w:r>
      <w:r>
        <w:t>https://mcp.opencaselaw.ch/entscheid/ge_gerichte_ATAS_204_2024</w:t>
      </w:r>
    </w:p>
    <w:p>
      <w:r>
        <w:t>FR: GE_GERICHTE ATAS/204/2024 du 27 mars 2024</w:t>
      </w:r>
    </w:p>
    <w:p>
      <w:r>
        <w:t>IT: GE_GERICHTE ATAS/204/2024 del 27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Interjeté en temps utile, le recours est recevable (art. 60 LPGA).</w:t>
      </w:r>
    </w:p>
    <w:p>
      <w:r>
        <w:rPr>
          <w:b/>
        </w:rPr>
        <w:t>E. 4</w:t>
      </w:r>
    </w:p>
    <w:p>
      <w:r>
        <w:t>Le litige porte sur le droit de la recourante à une rente d’invalidité de plus d’une demi-rente dès le 1er août 2017.</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5.2</w:t>
      </w:r>
    </w:p>
    <w:p>
      <w:r>
        <w:t>En vertu de l’art. 28 al. 2 LAI, l’assuré a droit à une rente entière s’il est invalide à 70% au moins, à un trois-quarts de rente s'il est invalide à 60% au moins, à une</w:t>
      </w:r>
    </w:p>
    <w:p>
      <w:r>
        <w:t>A/1114/2021 - 11/16 - demi-rente s’il est invalide à 50% au moins, ou à un quart de rente s’il est invalide à 40% au moins.</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 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w:t>
      </w:r>
    </w:p>
    <w:p>
      <w:r>
        <w:t>A/1114/2021 - 12/16 -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5.6.2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w:t>
      </w:r>
    </w:p>
    <w:p>
      <w:r>
        <w:t>A/1114/2021 - 13/16 -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5.6.3</w:t>
      </w:r>
    </w:p>
    <w:p>
      <w:r>
        <w:t>Le juge vérifie librement si l’expert médical a exclusivement tenu compte des déficits fonctionnels résultant de l’atteinte à la santé et si son évaluation de l’exigibilité repose sur une base objective.</w:t>
      </w:r>
    </w:p>
    <w:p>
      <w:r>
        <w:rPr>
          <w:b/>
        </w:rPr>
        <w:t>E. 5.6.4</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w:t>
      </w:r>
    </w:p>
    <w:p>
      <w:r>
        <w:t>A/1114/2021 - 14/16 -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5.7</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En l’espèce, le rapport du Dr H______ répond aux réquisits permettant de lui reconnaître une pleine valeur probante et il est détaillé et convaincant. Sur base de ses conclusions, à savoir une incapacité totale de la recourante de travailler dans le marché ordinaire, en lien avec le diagnostic de syndrome du trouble autistique, il n’apparaît pas nécessaire de faire préciser à l’expert psychiatre la gravité du trouble anxieux généralisé, ni si la recourante présente un trouble somatoforme douloureux, ce qui n’est pas susceptible d’avoir une incidence sur ses conclusions. De même, le fait de savoir s’il avait pu objectiver des manifestations anxieuses et objectives lors de son examen clinique n’est pas déterminant, dès lors que son examen a eu lieu après la période en cause, qui s’arrête au jour de la décision querellée, soit le 23 février 2021. L’expert psychiatre a motivé clairement la capacité de travail de la recourante tant dans l’activité habituelle que dans une activité adaptée, de sorte que les questions complémentaires requises par l’intimé à ce sujet ne se justifient pas. L’expert s’est enfin déterminé dans son rapport sur l’appréciation du Dr E______, de sorte qu’il n’y a pas lieu de le compléter à ce sujet. Il n’y a pas lieu d’examiner la valeur probante de l’expertise rhumatologique du Prof. I______, au vu de l’incapacité totale de travail de la recourante retenue par l’expert psychiatre. Il en résulte que celle-ci a droit à une rente entière d’invalidité dès le 1er août 2017, étant rappelé que la fin du délai d’attente d’un an est intervenue le 1er novembre 2016</w:t>
      </w:r>
    </w:p>
    <w:p>
      <w:r>
        <w:t>A/1114/2021 - 15/16 - et que le droit à la rente a pris naissance le 1er août 2017, en raison de la demande tardive de la rente.</w:t>
      </w:r>
    </w:p>
    <w:p>
      <w:r>
        <w:rPr>
          <w:b/>
        </w:rPr>
        <w:t>E. 7</w:t>
      </w:r>
    </w:p>
    <w:p>
      <w:r>
        <w:t>Au vu de ce qui précède, le recours sera admis et la décision du 23 février 2021 sera réformée dans le sens que la recourante a droit à une rente entière d’invalidité dès le 1er août 2017. La recourante obtenant gain de cause et étant assistée d’un conseil, elle a droit à des dépens qui seront fixés à CHF 3'000.- (art. 61 let. g LPGA). Au vu du sort du recours, il y a lieu de condamner l'intimé au paiement d'un émolument de CHF 200.- (art. 69 al. 1bis LAI). Dès lors que l’on ne peut considérer que l’intimé a procédé à une instruction présentant des lacunes ou des insuffisances caractérisées, les frais de l’expertise judiciaire seront laissés à la charge de l’État (ATF 137 V 210 consid. 4.4.2).</w:t>
      </w:r>
    </w:p>
    <w:p>
      <w:r>
        <w:t>A/1114/2021 - 16/16 -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