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ATAS/204/2021 vom 8. März 2021</w:t>
      </w:r>
    </w:p>
    <w:p>
      <w:r>
        <w:t>GE Cour de justice, 2021-03-08, FR</w:t>
      </w:r>
    </w:p>
    <w:p>
      <w:r>
        <w:rPr>
          <w:b/>
        </w:rPr>
        <w:t xml:space="preserve">Quelle: </w:t>
      </w:r>
      <w:r>
        <w:t>https://mcp.opencaselaw.ch/entscheid/ge_gerichte_ATAS_204_2021</w:t>
      </w:r>
    </w:p>
    <w:p>
      <w:r>
        <w:t>FR: GE_GERICHTE ATAS/204/2021 du 8 mars 2021</w:t>
      </w:r>
    </w:p>
    <w:p>
      <w:r>
        <w:t>IT: GE_GERICHTE ATAS/204/2021 del 8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singulièrement sur l’estimation de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A/1427/2020 - 6/10 -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w:t>
      </w:r>
    </w:p>
    <w:p>
      <w:r>
        <w:t>A/1427/2020 - 7/10 -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w:t>
      </w:r>
    </w:p>
    <w:p>
      <w:r>
        <w:rPr>
          <w:b/>
        </w:rPr>
        <w:t>E. 7</w:t>
      </w:r>
    </w:p>
    <w:p>
      <w:r>
        <w:t>En l’occurrence, l’intimé s’est rallié à l’avis du SMR du 11 février 2021, lequel estime que l’expertise du Dr K______ a pleine valeur probante et reconnait au recourant une incapacité de travail totale depuis 2016. Compte tenu du dépôt de la demande de prestation en janvier 2018, la question de savoir si cette incapacité de travail était déjà présente dès 2011 peut rester ouverte.</w:t>
      </w:r>
    </w:p>
    <w:p>
      <w:r>
        <w:rPr>
          <w:b/>
        </w:rPr>
        <w:t>E. 8</w:t>
      </w:r>
    </w:p>
    <w:p>
      <w:r>
        <w:t>Partant, le recourant à droit, dès le 1er juillet 2018, à une rente entière d’invalidité. Le recours sera donc admis, la décision litigieuse annulée et il sera dit que le recourant a droit à une rente entière d’invalidité depuis le 1er juillet 2018.</w:t>
      </w:r>
    </w:p>
    <w:p>
      <w:r>
        <w:t>A/1427/2020 - 8/10 -</w:t>
      </w:r>
    </w:p>
    <w:p>
      <w:r>
        <w:rPr>
          <w:b/>
        </w:rPr>
        <w:t>E. 9</w:t>
      </w:r>
    </w:p>
    <w:p>
      <w:r>
        <w:t>a.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b. En l’occurrence, une expertise judiciaire a été nécessaire, compte tenu de l’absence de toute valeur probante de l’expertise du Dr I______, effectuée à la demande de l’intimé, comme cela a été exposé dans l’ordonnance d’expertise du 26 novembre 2020 (ATAS/1144/2020). Par ailleurs, l’expertise du Dr I______ a</w:t>
      </w:r>
    </w:p>
    <w:p>
      <w:r>
        <w:t>A/1427/2020 - 9/10 - présenté des insuffisances caractérisées qui ont été relevées par l’expert judiciaire, lequel a mentionné que les lacunes et incohérences du rapport du Dr I______ étaient très nombreuses (expertise judiciaire p. 21 ss). Dans ces conditions, il se justifie de mettre les frais d’expertise de CHF 14’000.- (selon la facture du 30 décembre 2020 du Dr K______) à la charge de l’intimé.</w:t>
      </w:r>
    </w:p>
    <w:p>
      <w:r>
        <w:rPr>
          <w:b/>
        </w:rPr>
        <w:t>E. 10</w:t>
      </w:r>
    </w:p>
    <w:p>
      <w:r>
        <w:t>Vu l’issue du litige, une indemnité de CHF 4’000.- sera accordée au recourant à titre de participation à ses frais et dépens (art. 61 let. g LPGA; art. 6 du règlement sur les frais, émoluments et indemnités en matière administrative du 30 juillet 1986 [RFPA - E 5 10.03]), à charge de l’intimé. Enfin, il y a lieu de condamner l'intimé au paiement d'un émolument de CHF 200.- (art. 69 al. 1 bis LAI).</w:t>
      </w:r>
    </w:p>
    <w:p>
      <w:r>
        <w:t>A/1427/2020 - 10/10 -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