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ATAS/203/2019 vom 13. März 2019</w:t>
      </w:r>
    </w:p>
    <w:p>
      <w:r>
        <w:t>GE Cour de justice, 2019-03-13, FR</w:t>
      </w:r>
    </w:p>
    <w:p>
      <w:r>
        <w:rPr>
          <w:b/>
        </w:rPr>
        <w:t xml:space="preserve">Quelle: </w:t>
      </w:r>
      <w:r>
        <w:t>https://mcp.opencaselaw.ch/entscheid/ge_gerichte_ATAS_203_2019</w:t>
      </w:r>
    </w:p>
    <w:p>
      <w:r>
        <w:t>FR: GE_GERICHTE ATAS/203/2019 du 13 mars 2019</w:t>
      </w:r>
    </w:p>
    <w:p>
      <w:r>
        <w:t>IT: GE_GERICHTE ATAS/203/2019 del 13 marzo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droit de la recourante à une rente entière d'invalidité.</w:t>
      </w:r>
    </w:p>
    <w:p>
      <w:r>
        <w:rPr>
          <w:b/>
        </w:rPr>
        <w:t>E. 4</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w:t>
      </w:r>
    </w:p>
    <w:p>
      <w:r>
        <w:t>A/4797/2017 - 11/19 -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t>A/4797/2017 - 12/19 - Les principes jurisprudentiels développés en matière de troubles somatoformes douloureux sont également applicables à la fibromyalgie (ATF 132 V 65 consid. 4.1) au syndrome de fatigue chronique ou de neurasthénie à l’exception de la fatigue due au cancer (ATF 139 V 346; arrêt du Tribunal fédéral 9C_662/2009 du 17 août 2010 consid. 2.3), à la neurasthénie (arrêt du Tribunal fédéral des assurances I 70/07 du 14 avril 2008 consid. 5), à l'anesthésie dissociative et aux atteintes sensorielles (arrêt du Tribunal fédéral des assurances I 9/07 du 9 février 2007 consid. 4 in SVR 2007 IV n° 45 p. 149) ainsi qu'en matière de troubles moteurs dissociatifs (arrêt du Tribunal fédéral 9C_903/2007 du 30 avril 2008 consid. 3.4) et de traumatisme du type « coup du lapin » (ATF 136 V 279 consid. 3.2.3). Dans la catégorie « degré de gravité fonctionnel », le Tribunal fédéral distingue entre le complexe « atteinte à la santé » avec trois sous-catégories, le complexe « personnalité » et le complexe « environnement social ».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w:t>
      </w:r>
    </w:p>
    <w:p>
      <w:r>
        <w:t>A/4797/2017 - 13/19 -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(ATF 132 V 65 consid. 4.3.2).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(ATF 132 V 65 consid. 4.3.3). Dans la catégorie « cohérence », le Tribunal fédéral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w:t>
      </w:r>
    </w:p>
    <w:p>
      <w:r>
        <w:t>A/4797/2017 - 14/19 -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rPr>
          <w:b/>
        </w:rPr>
        <w:t>E. 7</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A/4797/2017 - 15/19 -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w:t>
      </w:r>
    </w:p>
    <w:p>
      <w:r>
        <w:t>A/4797/2017 - 16/19 -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w:t>
      </w:r>
    </w:p>
    <w:p>
      <w:r>
        <w:rPr>
          <w:b/>
        </w:rPr>
        <w:t>E. 10</w:t>
      </w:r>
    </w:p>
    <w:p>
      <w:r>
        <w:t>En l'espèce, la recourante allègue souffrir de fortes douleurs et il n’y a pas lieu d'en douter. Toutefois pour pouvoir fonder une invalidité, les douleurs doivent être objectivées par un diagnostic somatique ou un expert doit attester d'une composante psychique aux douleurs revêtant une importance déterminante au regard de la limitation de la capacité de travail. Dans son rapport du 27 janvier 2016, le service de rhumatologie a posé le diagnostic de probable syndrome douloureux chronique. Dans son rapport du 1er décembre 2015, ce même service indiquait qu'il y avait 18 sur 18 points de fibromyalgie. Les médecins n'avaient toutefois pas posé de diagnostic autre que des douleurs diffuses en cours d'investigation et des troubles dégénératifs pluri-étagés. Il y a lieu de retenir en l'espèce le diagnostic posé, après investigation, dans le dernier rapport du service de rhumatologie du 27 janvier 2016, soit un probable</w:t>
      </w:r>
    </w:p>
    <w:p>
      <w:r>
        <w:t>A/4797/2017 - 17/19 - syndrome douloureux chronique. Ce rapport a plus de force probante que ceux de la Dresse F______, qui n'est pas spécialiste en rhumatologie. La recourante a fait valoir que, selon plusieurs études, la fibromyalgie aurait une cause neurologique. Cette appréciation, qui n'émane pas d'un médecin, ne remet pas sérieusement cause le diagnostic posé par le service de rhumatologie le 27 janvier 2016. Aucun rapport médical ne remettant sérieusement en cause les conclusions du service de rhumatologie du 27 janvier 2016, attestant d'un probable syndrome douloureux chronique, il ne se justifie pas de faire procéder à une expertise rhumatologique. Il sera toutefois relevé que la situation ne serait pas différente si on retenait une fibromyalgie comme l’invoque la recourante, dès lors que, dans les deux cas, la cause des douleurs n'est pas objectivable et que les principes jurisprudentiels développés en matière de troubles somatoformes douloureux sont également applicables à la fibromyalgie. Dans ces cas, la reconnaissance de l'existence de ces troubles suppose d'abord la présence d'un diagnostic émanant d'un expert (psychiatre), s'appuyant lege artis sur les critères d'un système de classification reconnu (ATF 130 V 396 consid. 5.3). Une expertise n'est toutefois pas indispensable lorsque le dossier médical comprend suffisamment de renseignements pour exclure l'existence d'une composante psychique aux douleurs qui revêtirait une importance déterminante au regard de la limitation de la capacité de travail. En l'occurrence, l'expert-psychiatre a exclu l'existence d'une telle composante psychique chez la recourante, relevant qu'elle n'avait pas présenté d'antécédent psychiatrique, ni même de vulnérabilité psychique, avant de ressentir des douleurs en 2014, qu'elle avait des capacités de résilience et qu'il n'y avait pas d'argument en faveur d'une pathologie du caractère. Le rapport d’expertise psychiatrique du 25 juin 2017 se base sur l’étude du dossier médical de la recourante, ainsi que sur des examens cliniques complets. L'anamnèse est détaillée et les plaintes de la recourante ont été prises en considération. Ses conclusions sont cohérentes et convaincantes, de sorte qu'il remplit les réquisits jurisprudentiels pour se voir accorder une pleine valeur probante. La recourante n'a pas contesté les conclusions de l'expert, considérant elle-même que ses problèmes n'avaient pas une cause psychiatrique et précisant qu'elle souffrait seulement de tristesse et qu'elle ne comprenait pas pourquoi une expertise psychiatrique avait été ordonnée. Le médecin traitant de la recourante n'a pas non plus remis en cause les conclusions de l'expert, puisqu'elle a fait valoir qu'en l'absence d'argument psychopathologique pouvant étayer le diagnostic de syndrome douloureux somatoforme, cela signifiait que ce diagnostic avait une cause physique et non psychique et a demandé, en</w:t>
      </w:r>
    </w:p>
    <w:p>
      <w:r>
        <w:t>A/4797/2017 - 18/19 - conséquence, qu'une expertise rhumatologique soit ordonnée. Cet argumentation n'est pas convaincante, car elle repose sur un raisonnement erroné, à savoir que les douleurs de sa patiente ne pouvaient avoir qu'une cause somatique puisqu'une cause psychique n'était pas établie, alors que cela n'est pas forcément le cas. Faute d'atteinte à la santé avec substrat organique et vu l'exclusion par l'expert- psychiatre d'une composante psychique aux douleurs de la recourante revêtant une importance déterminante au regard de la limitation de la capacité de travail, c'est à juste titre que l'intimé a refusé toute prestation à celle-ci et sa décision doit être confirmée.</w:t>
      </w:r>
    </w:p>
    <w:p>
      <w:r>
        <w:rPr>
          <w:b/>
        </w:rPr>
        <w:t>E. 11</w:t>
      </w:r>
    </w:p>
    <w:p>
      <w:r>
        <w:t>Il ne sera pas donné suite à la demande d'audition de témoins de la recourante, ces mesures d'instruction n'étant pas nécessaires pour trancher le recours.</w:t>
      </w:r>
    </w:p>
    <w:p>
      <w:r>
        <w:rPr>
          <w:b/>
        </w:rPr>
        <w:t>E. 12</w:t>
      </w:r>
    </w:p>
    <w:p>
      <w:r>
        <w:t>Infondé, le recours sera être rejeté. Bien que la procédure ne soit pas gratuite en matière d'assurance-invalidité (art. 69 al. 1bis LAI), il n'y a pas lieu de percevoir un émolument, la recourante étant au bénéfice de l'assistance juridique (art. 12 al. 1 du règlement sur les frais, émoluments et indemnités en procédure administrative du 30 juillet 1986 [RFPA - E 5 10.03]).</w:t>
      </w:r>
    </w:p>
    <w:p>
      <w:r>
        <w:t>A/4797/2017 - 19/19 -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