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ATAS/203/2011 vom 24. Februar 2011</w:t>
      </w:r>
    </w:p>
    <w:p>
      <w:r>
        <w:t>GE Cour de justice, 2011-02-24, FR</w:t>
      </w:r>
    </w:p>
    <w:p>
      <w:r>
        <w:rPr>
          <w:b/>
        </w:rPr>
        <w:t xml:space="preserve">Quelle: </w:t>
      </w:r>
      <w:r>
        <w:t>https://mcp.opencaselaw.ch/entscheid/ge_gerichte_ATAS_203_2011</w:t>
      </w:r>
    </w:p>
    <w:p>
      <w:r>
        <w:t>FR: GE_GERICHTE ATAS/203/2011 du 24 février 2011</w:t>
      </w:r>
    </w:p>
    <w:p>
      <w:r>
        <w:t>IT: GE_GERICHTE ATAS/203/2011 del 24 febbraio 2011</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w:t>
      </w:r>
    </w:p>
    <w:p>
      <w:r>
        <w:t>A/45/2011 - 3/6 -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a entraîné la modification de nombreuses dispositions légales dans le domaine de l'assurance-invalidité. Cela étant, les notions et les principes développés jusqu'alors par la jurisprudence en matière d’évaluation de l'invalidité n'ont pas été modifiés par l'entrée en vigueur de la LPGA (voir ATF 130 V 343). Par ailleurs, la loi fédérale du 16 décembre 2005 modifiant la loi fédérale sur l'assurance-invalidité est entrée en vigueur le 1er juillet 2006 (RO 2006 2003), apportant des modifications qui concernent notamment la procédure conduite devant la Chambre de céans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de la recourante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w:t>
      </w:r>
    </w:p>
    <w:p>
      <w:r>
        <w:t>A/45/2011 - 4/6 -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w:t>
      </w:r>
    </w:p>
    <w:p>
      <w:r>
        <w:t>A/45/2011 - 5/6 - raisonnablement, exiger de l'assuré (ATF 125 V 261 consid. 4, 115 V 134 consid. 2, 114 V 314 consid. 3c, 105 V 158 consid. 1 in fine).</w:t>
      </w:r>
    </w:p>
    <w:p>
      <w:r>
        <w:rPr>
          <w:b/>
        </w:rPr>
        <w:t>E. 8</w:t>
      </w:r>
    </w:p>
    <w:p>
      <w:r>
        <w:t>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rPr>
          <w:b/>
        </w:rPr>
        <w:t>E. 9</w:t>
      </w:r>
    </w:p>
    <w:p>
      <w:r>
        <w:t>En l'espèce, il apparaît manifeste que des investigations médicales complémentaires sont nécessaires sur le plan psychique puisqu'ainsi que l'a constaté le médecin du SMR, ce plan-là n'a pas été suffisamment investigué. La cause n'étant, de l'avis de la Cour de céans comme des parties, pas suffisamment instruite pour permettre de se déterminer en connaissance de cause, il convient d’admettre partiellement le recours et de renvoyer la cause à l’intimé pour instruction complémentaire puis nouvelle décision.</w:t>
      </w:r>
    </w:p>
    <w:p>
      <w:r>
        <w:rPr>
          <w:b/>
        </w:rPr>
        <w:t>E. 10</w:t>
      </w:r>
    </w:p>
    <w:p>
      <w:r>
        <w:t>Il est rappelé que le recourant qui obtient gain de cause a droit au remboursement de ses frais et dépens ainsi que de ceux de son mandataire. Or, tel est le cas en l’espèce dès lors qu’il est avéré que l’instruction du dossier nécessite d’être complétée.</w:t>
      </w:r>
    </w:p>
    <w:p>
      <w:r>
        <w:t>A/45/2011 - 6/6 -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