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ATAS/203/2009 vom 24. Februar 2009</w:t>
      </w:r>
    </w:p>
    <w:p>
      <w:r>
        <w:t>GE Cour de justice, 2009-02-24, FR</w:t>
      </w:r>
    </w:p>
    <w:p>
      <w:r>
        <w:rPr>
          <w:b/>
        </w:rPr>
        <w:t xml:space="preserve">Quelle: </w:t>
      </w:r>
      <w:r>
        <w:t>https://mcp.opencaselaw.ch/entscheid/ge_gerichte_ATAS_203_2009</w:t>
      </w:r>
    </w:p>
    <w:p>
      <w:r>
        <w:t>FR: GE_GERICHTE ATAS/203/2009 du 24 février 2009</w:t>
      </w:r>
    </w:p>
    <w:p>
      <w:r>
        <w:t>IT: GE_GERICHTE ATAS/203/2009 del 24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rPr>
          <w:b/>
        </w:rPr>
        <w:t>E. 2</w:t>
      </w:r>
    </w:p>
    <w:p>
      <w:r>
        <w:t>Sa compétence pour juger du cas d’espèce est ainsi établie.</w:t>
      </w:r>
    </w:p>
    <w:p>
      <w:r>
        <w:rPr>
          <w:b/>
        </w:rPr>
        <w:t>E. 3</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4</w:t>
      </w:r>
    </w:p>
    <w:p>
      <w:r>
        <w:t>Déposé dans les forme et délai prévus par la loi, le présent recours est recevable (art. 60 LPGA).</w:t>
      </w:r>
    </w:p>
    <w:p>
      <w:r>
        <w:rPr>
          <w:b/>
        </w:rPr>
        <w:t>E. 5</w:t>
      </w:r>
    </w:p>
    <w:p>
      <w:r>
        <w:t>Il convient en l’occurrence de déterminer si la décision initiale de l’OCAI du 20 janvier 2006 (octroi d’une rente entière d’invalidité depuis le 15 mars 2005) peut être réexaminée par la voie de la révision. Pour que l’art. 17 LPGA s’applique, soit qu'une décision puisse être révisée, il faut que l'état de santé ait subi une modification notable depuis la décision initiale, qui ait une incidence sur le droit à la rente. Il y a lieu dès lors d'examiner cette question.</w:t>
      </w:r>
    </w:p>
    <w:p>
      <w:r>
        <w:rPr>
          <w:b/>
        </w:rPr>
        <w:t>E. 6</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7</w:t>
      </w:r>
    </w:p>
    <w:p>
      <w:r>
        <w:t>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w:t>
      </w:r>
    </w:p>
    <w:p>
      <w:r>
        <w:t>A/3819/2008 - 9/13 - 4ème révision de la LAI (ATF 130 V 348 consid. 3.4; ATFA non publiés du 17 mai 2005, I 7/05, consid. 2, du 6 septembre 2004, I 249/04, consid. 4).</w:t>
      </w:r>
    </w:p>
    <w:p>
      <w:r>
        <w:rPr>
          <w:b/>
        </w:rPr>
        <w:t>E. 8</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w:t>
      </w:r>
    </w:p>
    <w:p>
      <w:r>
        <w:t>En vertu de l'art. 88a al. 1 du règlement sur l'assurance-invalidité du 17 janvier 1961 (RAI), si la capacité de gain ou la capacité d'accomplir les travaux habituels d'un assuré s'améliore ou que son impotence s'atténue, il y a lieu de considérer que ce changement supprime, le cas échéant, toute ou partie de son droit aux prestations dès qu'on peut s'attendre à ce que l'amélioration se maintienne durant une assez longue période. Il en va de même lorsqu'un tel changement déterminant a duré trois mois déjà, sans interruption notable et sans qu'une complication prochaine soit à craindre. L'art. 88bis al. 2 let. a RAI stipule que la diminution ou la suppression de la rente ou de l'allocation pour impotence prend effet au plus tôt le premier jour du deuxième mois qui suit la notification de la décision.</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w:t>
      </w:r>
    </w:p>
    <w:p>
      <w:r>
        <w:t>A/3819/2008 - 10/13 -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l’indépendance et l’impartialité des médecins du COMAI étaient garanties déjà avant l’entrée en vigueur de leur nouveau statut du 1er juin 1994 (ATF 123 V 175 ; cf. également RAMA 1999 n° U 332 p. 193). Selon la jurisprudence de la CEDH, le fait que les experts mandatés par le tribunal soient subordonnés à l’une des parties n’est en principe pas incompatible avec l’art. 6 par. 1 CEDH qui garantit le droit à un procès équitable (JAAC 1998 95 917). S'agissant de la valeur probante des rapports établis par les médecins traitants, le juge peut et doit tenir compte du fait que, selon l'expérience, le médecin traitant est</w:t>
      </w:r>
    </w:p>
    <w:p>
      <w:r>
        <w:t>A/3819/2008 - 11/13 -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10</w:t>
      </w:r>
    </w:p>
    <w:p>
      <w:r>
        <w:t>En janvier 2006, une incapacité de travail entière avait été admise sur la base des rapports établis par les Dr C___________ et B___________. Une intervention chirurgicale était à cette époque envisagée et a finalement été pratiquée en juillet 2006. Dans le cadre de la révision du dossier initiée par l'OCAI en février 2007, il est apparu que l'évolution était favorable. Le Dr C___________ a confirmé le 19 octobre 2007 que l'incapacité de travail était de 100% dans l'activité de monteur- électricien, mais indiqué qu'elle pourrait probablement être de 60 - 70% dans une activité adaptée.</w:t>
      </w:r>
    </w:p>
    <w:p>
      <w:r>
        <w:t>A/3819/2008 - 12/13 - Le Dr B___________, à la même date, a, quant à lui, considéré que l'incapacité était entière quelle que soit l'activité, tout en faisant état d'une amélioration de la mobilité au niveau lombaire (cf. également son rapport du 29 mars 2007). Dans son rapport établi le 15 février 2008, la Dresse G___________ a également constaté une amélioration de l'état de santé. Elle estime la capacité de travail à 50% dans une activité adaptée aux limitations fonctionnelles. Le Tribunal de céans constate que le rapport de la Dresse G___________ remplit les réquisits jurisprudentiels quant à la valeur probante, de sorte qu'il n'y a aucun motif de s'en écarter. Ses conclusions vont du reste dans le même sens que celles du Dr C___________ et du Dr H___________. L'assuré rappelle qu'il a dû être hospitalisé en novembre 2007 en raison de douleurs cervicales de plus en plus intenses avec irradiation dans le bras gauche. Il ressort toutefois du rapport établi le 28 novembre 2007 qu'une amélioration avait pu être constatée grâce à une prise en charge de physiothérapie. Il y a dès lors lieu de confirmer que l'assuré peut travailler dans une activité adaptée à ses limitations fonctionnelles à 50%, étant rappelé que l'activité de télématicien peut précisément représenter une telle activité. Une capacité de 50% lui donne droit, compte tenu d'un abattement supplémentaire de 15%, à un trois-quarts de rente. Ainsi que l'a indiqué l'OCAI dans sa décision, un éventuel droit à l'aide au placement est ouvert, pour autant que l'assuré en fasse la demande écrite et motivée.</w:t>
      </w:r>
    </w:p>
    <w:p>
      <w:r>
        <w:t>Aussi le recours est-il rejeté.</w:t>
      </w:r>
    </w:p>
    <w:p>
      <w:r>
        <w:t>A/3819/2008 - 13/13 -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