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ATAS/203/2008 vom 11. September 2007</w:t>
      </w:r>
    </w:p>
    <w:p>
      <w:r>
        <w:t>GE Cour de justice, 2007-09-11, FR</w:t>
      </w:r>
    </w:p>
    <w:p>
      <w:r>
        <w:rPr>
          <w:b/>
        </w:rPr>
        <w:t xml:space="preserve">Quelle: </w:t>
      </w:r>
      <w:r>
        <w:t>https://mcp.opencaselaw.ch/entscheid/ge_gerichte_ATAS_203_2008</w:t>
      </w:r>
    </w:p>
    <w:p>
      <w:r>
        <w:t>FR: GE_GERICHTE ATAS/203/2008 du 11 septembre 2007</w:t>
      </w:r>
    </w:p>
    <w:p>
      <w:r>
        <w:t>IT: GE_GERICHTE ATAS/203/2008 del 11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A/3938/2007 3/4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11 janvier 2006, d’autre part le 13 octobre 2007, date à laquelle le jugement de divorce est devenu exécutoire.</w:t>
      </w:r>
    </w:p>
    <w:p>
      <w:r>
        <w:rPr>
          <w:b/>
        </w:rPr>
        <w:t>E. 3</w:t>
      </w:r>
    </w:p>
    <w:p>
      <w:r>
        <w:t>Selon les documents produits, la prestation acquise pendant le mariage par le demandeur est de 11'708 fr. (89'477 fr. - 77'769 fr.), étant précisé que la demanderesse n'a exercé aucune activité lucrative durant le mariage. Aussi le demandeur doit-il à son ex-épouse le montant de 5'854 fr. (11'708 fr.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A/3938/2007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