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ATAS/202/2020 vom 12. März 2020</w:t>
      </w:r>
    </w:p>
    <w:p>
      <w:r>
        <w:t>GE Cour de justice, 2020-03-12, FR</w:t>
      </w:r>
    </w:p>
    <w:p>
      <w:r>
        <w:rPr>
          <w:b/>
        </w:rPr>
        <w:t xml:space="preserve">Quelle: </w:t>
      </w:r>
      <w:r>
        <w:t>https://mcp.opencaselaw.ch/entscheid/ge_gerichte_ATAS_202_2020</w:t>
      </w:r>
    </w:p>
    <w:p>
      <w:r>
        <w:t>FR: GE_GERICHTE ATAS/202/2020 du 12 mars 2020</w:t>
      </w:r>
    </w:p>
    <w:p>
      <w:r>
        <w:t>IT: GE_GERICHTE ATAS/202/2020 del 12 marzo 2020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A/3762/2008 ATAS/202/2020 COUR DE JUSTICE Chambre des assurances sociales Arrêt en révision du 12 mars 2020 3ème Chambre</w:t>
      </w:r>
    </w:p>
    <w:p>
      <w:r>
        <w:t>Madame A______, domiciliée au PETIT-LANCY demanderesse en révision contre ARRÊT DE LA CHAMBRE DES ASSURANCES SOCIALES DU 11 MARS 2009 (ATAS/289/2009) dans la cause A/3762/2008 opposant Madame A______ à L’OFFICE DE L'ASSURANCE-INVALIDITE DU CANTON DE GENEVE</w:t>
      </w:r>
    </w:p>
    <w:p>
      <w:r>
        <w:t>A/3762/2008 - 2/2 - Vu la demande de révision du 22 novembre 2019 déposée par Madame A______ (ci- après l’assurée) contre l’arrêt rendu par la Cour de céans en date du 11 mars 2009; Vu la réponse du 18 décembre 2019 de l’Office de l’assurance-invalidité ; Vu l'audience de comparution personnelle des parties du 12 mars 2020 ; Attendu qu'à l’issue de cette dernière, l’assurée a indiqué retirer sa demande de révision. Qu'il convient d'en prendre acte et de rayer la cause du rôle.</w:t>
      </w:r>
    </w:p>
    <w:p>
      <w:r>
        <w:t>PAR CES MOTIFS, LA CHAMBRE DES ASSURANCES SOCIALES : 1. Prend acte du retrait de la demande de révision.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