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ATAS/202/2018 vom 5. März 2018</w:t>
      </w:r>
    </w:p>
    <w:p>
      <w:r>
        <w:t>GE Cour de justice, 2018-03-05, FR</w:t>
      </w:r>
    </w:p>
    <w:p>
      <w:r>
        <w:rPr>
          <w:b/>
        </w:rPr>
        <w:t xml:space="preserve">Quelle: </w:t>
      </w:r>
      <w:r>
        <w:t>https://mcp.opencaselaw.ch/entscheid/ge_gerichte_ATAS_202_2018</w:t>
      </w:r>
    </w:p>
    <w:p>
      <w:r>
        <w:t>FR: GE_GERICHTE ATAS/202/2018 du 5 mars 2018</w:t>
      </w:r>
    </w:p>
    <w:p>
      <w:r>
        <w:t>IT: GE_GERICHTE ATAS/202/2018 del 5 marzo 2018</w:t>
      </w:r>
    </w:p>
    <w:p>
      <w:pPr>
        <w:pStyle w:val="Heading2"/>
      </w:pPr>
      <w:r>
        <w:t>Erwägungen</w:t>
      </w:r>
    </w:p>
    <w:p>
      <w:r>
        <w:rPr>
          <w:b/>
        </w:rPr>
        <w:t>E. 1</w:t>
      </w:r>
    </w:p>
    <w:p>
      <w:r>
        <w:t>a.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b. La société ayant été domiciliée dans le canton de Genève jusqu’au moment de sa faillite, la chambre de céans est compétente ratione materiae et loci pour juger du cas d’espèce.</w:t>
      </w:r>
    </w:p>
    <w:p>
      <w:r>
        <w:rPr>
          <w:b/>
        </w:rPr>
        <w:t>E. 2</w:t>
      </w:r>
    </w:p>
    <w:p>
      <w:r>
        <w:t>a. À teneur de l’art. 1 al. 1 LAVS, les dispositions de la LPGA s’appliquent aux art. 1 à 97 LAVS, à moins que la loi n’y déroge expressément. L’entrée en vigueur de la LPGA le 1er janvier 2003 a entraîné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Les principes dégagés par la jurisprudence sur les conditions de droit matériel de la responsabilité de l’employeur au sens de l’art. 52 LAVS dans sa teneur précédente restent valables sous l’empire des modifications introduites par la LPGA (ATF 129 V 11 consid. 3.5 et 3.6). Les modifications de la LAVS du</w:t>
      </w:r>
    </w:p>
    <w:p>
      <w:r>
        <w:rPr>
          <w:b/>
        </w:rPr>
        <w:t>E. 7</w:t>
      </w:r>
    </w:p>
    <w:p>
      <w:r>
        <w:t>a.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Le dommage survient dès que l’on doit admettre que les cotisations dues ne peuvent plus être recouvrées, pour des motifs juridiques ou de fait (ATF 129 V 193 consid. 2.2 ; ATF 126 V 443 consid. 3a ; ATF 121 III 382 consid. 3bb ; ATF 121 III 386 consid. 3a). Tel sera le cas lorsque des cotisations sont frappées de péremption, ou en cas de faillite, en raison de l’impossibilité pour la caisse de récupérer les cotisations dans la procédure ordinaire de recouvrement. Le dommage subi par la caisse est réputé survenu au moment de l’avènement de la péremption ou au jour de la faillite. Le jour de la survenance du dommage marque celui de la naissance de la créance en réparation et la date à partir de laquelle court le délai de cinq ans (ATF 129 V 193 consid. 2.2 ; ATF 123 V 12 consid. 5c). Selon la jurisprudence rendue à propos de l’ancien art. 82 al. 1 RAVS, et valable sous l’empire de l’art. 52 al. 3 LAVS (arrêt du Tribunal fédéral des assurances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En cas de faillite, le moment de la connaissance du dommage correspond en règle générale à celui du dépôt de l’état de collocation, ou celui de la publication de la suspension de la liquidation de la faillite faute d’actifs (ATF 129 V 193 consid. 2.1 et 2.3). Tandis que le juge ne peut interrompre la prescription que par une ordonnance ou une décision, « chaque acte judiciaire des parties » suffit à produire cet effet (art. 138 al. 1 de la loi fédérale du 30 mars 1911, complétant le Code civil suisse - CO, Code des obligations -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w:t>
      </w:r>
    </w:p>
    <w:p>
      <w:r>
        <w:t>A/4037/2017 - 12/20 - b. En l’espèce, le dommage s’est produit le 18 novembre 2013, soit au moment du prononcé de la faillite, et l’intimée a eu connaissance du dommage le 10 juin 2014, lors de la publication dans la FAO de la suspension de la faillite faute d’actifs. Ainsi, le délai absolu de prescription de cinq ans courant dès le 18 novembre 2013 et le délai relatif de prescription de deux ans courant dès le 10 juin 2014 ont été interrompus, tant par les décisions en réparation du dommage du 26 mai 2016, que par les décisions sur opposition du 1er septembre 2017, puis les recours du 4 octobre 2017.</w:t>
      </w:r>
    </w:p>
    <w:p>
      <w:r>
        <w:rPr>
          <w:b/>
        </w:rPr>
        <w:t>E. 8</w:t>
      </w:r>
    </w:p>
    <w:p>
      <w:r>
        <w:t>L’action en réparation du dommage n’étant pas prescrite, il convient à présent d’examiner si les autres conditions de la responsabilité de l’art. 52 LAVS sont réalisées, à savoir si les recourants peuvent être considérés comme étant « l’employeur » tenu de verser les cotisations à l’intimée, s’ils ont commis une faute ou une négligence grave et enfin s’il existe un lien de causalité adéquate entre leur comportement et le dommage causé à l’intimée.</w:t>
      </w:r>
    </w:p>
    <w:p>
      <w:r>
        <w:rPr>
          <w:b/>
        </w:rPr>
        <w:t>E. 9</w:t>
      </w:r>
    </w:p>
    <w:p>
      <w:r>
        <w:t>a. La nouvelle teneur de l’art. 52 al. 2 LAVS, entrée en vigueur le 1er janvier 2012, codifie la jurisprudence du Tribunal fédéral selon laquelle, si l’employeur est une personne morale, la responsabilité peut s’étendre, à titre subsidiaire, aux organes qui ont agi en son nom (ATAS/610/2013 du 18 juin 2013 consid. 4a). b.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c. La notion d’organe selon l’art. 52 LAVS est en principe identique à celle qui se dégage de l’art. 754 al. 1 CO (arrêt du Tribunal fédéral des assurances H 234/02 du 16 avril 2003 consid. 7.3 publié in REAS 2003 p. 251). En matière de responsabilité des organes d’une société anonyme, l’art. 52 LAVS vise en première ligne les organes statutaires ou légaux de celle-ci, soit les administrateurs, l’organe de révision ou les liquidateurs (ATF 128 III 29 consid. 3a; ATF 117 II 432 consid. 2b ; ATF 117 II 570 consid. 3 ; ATF 107 II 349 consid. 5a ; Thomas NUSSBAUMER, Les caisses de compensation en tant que parties à une procédure de réparation d’un dommage selon l’art. 52 LAVS, in RCC 1991 p. 403). Au contraire des organes de fait, les organes formels répondent indépendamment de leur fonction ou de leur influence sur la marche des affaires de la société. Le fait qu’ils disposent d’un pouvoir de signature et les motifs de leur mandat sont</w:t>
      </w:r>
    </w:p>
    <w:p>
      <w:r>
        <w:t>A/4037/2017 - 13/20 - également sans importance (cf. ATF 114 V 211 consid. 4). En présence d’un organe formel, il n’est pas nécessaire d’examiner s’il répond à la notion d’organe matériel (arrêt du Tribunal fédéral des assurances H 34/04 du 15 septembre 2004 consid. 5.3.2). d. En l’occurrence, les recourants ont été inscrits au Registre du commerce en qualité d’administrateur le 5 avril 2011 et d’administratrice le 27 mars 2012, jusqu’au prononcé de la faillite. Ils faisaient partie du conseil d’administration, comme en atteste la résolution dudit organe du 19 septembre 2013. Ils revêtaient donc tous deux la qualité d’organe formel, de sorte qu’ils répondent en principe du dommage subi par l’intimée.</w:t>
      </w:r>
    </w:p>
    <w:p>
      <w:r>
        <w:rPr>
          <w:b/>
        </w:rPr>
        <w:t>E. 10</w:t>
      </w:r>
    </w:p>
    <w:p>
      <w:r>
        <w:t>Il sied d’examiner si les recourants ont violé intentionnellement ou par négligence grave les devoirs leur incombant et s’il existe un lien de causalité naturelle et adéquate entre le manquement qui leur est imputable et le préjudice subi.</w:t>
      </w:r>
    </w:p>
    <w:p>
      <w:r>
        <w:rPr>
          <w:b/>
        </w:rPr>
        <w:t>E. 11</w:t>
      </w:r>
    </w:p>
    <w:p>
      <w:r>
        <w:t>a.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b.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w:t>
      </w:r>
    </w:p>
    <w:p>
      <w:r>
        <w:t>A/4037/2017 - 14/20 - L’art. 716a al. 1 CO énumère les attributions intransmissibles et inaliénables des membres d’un conseil d’administration. En font partie l’exercice de la haute surveillance sur les personnes chargées de la gestion, pour s’assurer notamment qu’elles observent la loi, les statuts, les règlements et les instructions données (ch. 5). Dans le cadre de l’exercice de cette haute surveillance, l’administrateur répond de la cura in custodiendo. C’est ainsi qu’il a non seulement le devoir d’assister aux séances du conseil d’administration, mais également l’obligation de se faire renseigner périodiquement sur la marche des affaires. Il est tenu de prendre les mesures appropriées lorsqu’il a connaissance ou aurait dû avoir connaissance d’irrégularités commises dans la gestion de la société. Ce devoir de surveillance incombe à tous les membres du conseil d’administration, nonobstant le mode de répartition interne des tâches au sein du conseil d’administration (ATF 114 V 219 consid. 4a ; arrêt du Tribunal fédéral 9C_926/2009 du 27 avril 2010 consid. 4.3.3 et les références).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 du Tribunal fédéral des assurances H 87/04 du 22 juin 2005 consid. 5.2.2 ; arrêt du Tribunal fédéral des assurances H 234/00 du 27 avril 2001 consid. 5d). Que l’administrateur n’ait pas été en mesure d’exercer ses fonctions parce que la société était dirigée de fait par le directeur ou qu’il ait accepté son mandat à titre fiduciaire dans le seul but de permettre au conseil d’administration de satisfaire aux exigences de l’art. 708 al. 1 CO n’est pas un motif de suppression ou d’atténuation de la faute commise</w:t>
      </w:r>
    </w:p>
    <w:p>
      <w:r>
        <w:t>A/4037/2017 - 15/20 - (arrêt du Tribunal fédéral des assurances 9C_344/2011 du 3 février 2012 consid. 4.2). Commet également une faute grave l’organe qui verse des salaires pour lesquels les créances de cotisations qui en découlent de par la loi ne sont pas couvertes (SVR 1995 AHV n° 70 p. 214 consid. 5 ; voir également l’arrêt du Tribunal fédéral 9C_338/2007 du 21 avril 2008 consid. 3.1) ou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 arrêt du Tribunal fédéral 9C_351/2008 consid. 5.2 ou encore arrêt du Tribunal fédéral des assurances H 224/06 du 10 décembre 2007 consid. 6). c.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(arrêt du Tribunal fédéral des assurances H 263/02 du 6 février 2003 consid. 3.2). d. 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(arrêt du Tribunal fédéral 9C_338/2007 du 21 avril 2008 consid. 3.1). À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 il s’agit bien plutôt d’examiner si une telle attitude était alors défendable, objectivement, aux</w:t>
      </w:r>
    </w:p>
    <w:p>
      <w:r>
        <w:t>A/4037/2017 - 16/20 - yeux d’un tiers responsable (arrêt du Tribunal fédéral des assurances H 19/07 du 10 décembre 2007 consid. 4.1). Le fait de s’alarmer de la situation, de négocier avec les créanciers ou encore de tabler sur la promesse d’un actionnaire majoritaire (sur ce point, le recours se réduit d’ailleurs à une simple affirmation) ne sont pas des circonstances qui feraient apparaître comme légitime ou non fautive l’inobservation par un administrateur des prescriptions en matière d’AVS (arrêt du Tribunal fédéral des assurances H 163/00 du 19 octobre 2000 consid. 3b)</w:t>
      </w:r>
    </w:p>
    <w:p>
      <w:r>
        <w:rPr>
          <w:b/>
        </w:rPr>
        <w:t>E. 12</w:t>
      </w:r>
    </w:p>
    <w:p>
      <w:r>
        <w:t>a.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Selon la jurisprudence, celui qui entre dans le conseil d’administration d’une société a le devoir de veiller tant au versement des cotisations courantes qu’à l’acquittement des cotisations arriérées, pour une période pendant laquelle il n’était pas encore administrateur. En règle générale, il y a dans les deux cas un lien de causalité entre l’inaction de l’organe et le non-paiement des cotisations, de sorte que l’administrateur répond solidairement de tout le dommage subi par la caisse de compensation en cas de faillite de la société (RCC 1992 p. 262, 268 ss consid. 7b).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 du Tribunal fédéral des assurances H 167/05 du 21 juin 2006 consid. 8 ; arrêt du Tribunal fédéral des assurances H 74/05 du 8 novembre 2005 consid. 4). b.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w:t>
      </w:r>
    </w:p>
    <w:p>
      <w:r>
        <w:rPr>
          <w:b/>
        </w:rPr>
        <w:t>E. 13</w:t>
      </w:r>
    </w:p>
    <w:p>
      <w:r>
        <w:t>a. En l’espèce, les recourants font tout d’abord valoir qu’ils ne sont pas intervenus dans la gestion opérationnelle de la société, dont ils ne recevaient que les bilans.</w:t>
      </w:r>
    </w:p>
    <w:p>
      <w:r>
        <w:t>A/4037/2017 - 17/20 - Il est rappelé que le recourant a endossé la qualité d’administrateur dès le 5 avril 2011 et la recourante dès le 27 mars 2012, et ce jusqu’au prononcé de la faillite de la société. En tant que membre du conseil d’administration, les recourants devaient assumer les devoirs intransmissibles et inaliénables que la loi attribue aux organes d’une société anonyme, indépendamment de leur rôle effectif. Il leur incombait en particulier d’exercer la haute surveillance sur les personnes chargées de la gestion et s’assurer que celles-ci observent la loi, les statuts, les règlements et les instructions données. Ils étaient notamment tenus de se mettre régulièrement au courant de la marche des affaires et de veiller personnellement à ce que tout soit mis en œuvre pour que les cotisations paritaires afférentes aux salaires fussent effectivement payées à l’AVS. En leur qualité d’organe formel, ils répondent donc indépendamment de leur fonction ou de leur influence sur la marche des affaires de la société et ne sauraient en aucun cas se prévaloir d’un rôle passif au sein de la société pour se soustraire à leur responsabilité. Il est rappelé à cet égard que la négligence grave est donnée lorsque l’administrateur n’assume pas son mandat dans les faits et n’exerce ainsi pas la haute surveillance sur les personnes chargées de la gestion, attribution incessible et inaliénable du conseil d’administration. Il est encore souligné que la jurisprudence s’est toujours montrée sévère lorsqu’il s’agit d’apprécier la responsabilité d’administrateurs qui alléguaient avoir été exclus de la gestion d’une société et qui s’étaient accommodés de ce fait sans autre forme de procès (cf. notamment RCC 1992 p. 268 consid. 7b ; RCC 1989 p. 115 consid. 4). b. Les recourants invoquent ensuite avoir pris toutes les mesures nécessaires dès qu’ils ont appris les difficultés de trésorerie de la société le 29 mai 2013, notamment en demandant un apport de fonds à M. D______, en établissant un échéancier et en requérant la mise en faillite de la société. La chambre de céans observe toutefois que les recourants auraient dû se rendre compte que la société ne souffrait pas de problèmes de trésorerie passagers. En effet, il ressort des pièces produites que la société a régulièrement sollicité, dès 2011, des prolongations de délais pour s’acquitter des acomptes de cotisations, lesquels se sont en outre révélés insuffisants. Les factures finales concernant les années 2011 et 2012, établies respectivement les 26 mars 2012 et 18 février 2013, n’ont pu être réglées que les 31 mai 2012 et 24 juin 2013 et les acomptes de cotisations dus en 2013 n’ont pas été honorés, de sorte que des rappels et des sommations ont dû être adressés à la société. C’est le lieu de relever que, contrairement à ce que prétendent les recourants, la société n’a pas été en mesure de s’acquitter des acomptes en 2013 en raison du fait qu’elle avait différé le paiement des factures de 2012, comme cela est expressément indiqué dans le courriel du 3 juillet 2013 adressé à l’intimée. Ces éléments attestent des difficultés financières récurrentes rencontrées par la société, à tout le moins depuis 2011, de sorte que les recourants auraient eu le temps, s’ils avaient correctement exécuté leur mandat dès leur entrée en fonction,</w:t>
      </w:r>
    </w:p>
    <w:p>
      <w:r>
        <w:t>A/4037/2017 - 18/20 - de prendre les mesures qui s’imposaient, cas échéant de démissionner rapidement et de requérir la faillite de la société dans les plus brefs délais. c. Les recourants soutiennent avoir retardé les paiements de cotisations afin de maintenir la société en vie, en attendant les apports de M. D______ qui auraient dû permettre d’assainir rapidement les finances de la société. La seule expectative que la société retrouve un équilibre financier ne suffit pas ; il faut des éléments concrets et objectifs selon lesquels la situation économique de la société se stabilise dans un laps de temps déterminé et que celle-ci recouvre sa capacité financière. Or, les recourants ne démontrent pas avoir eu des raisons sérieuses et objectives de penser que la société pourrait s’acquitter des cotisations dues dans un délai raisonnable. En réalité, ils ne comptaient que sur des versements inopinés de l’actionnaire majoritaire, lequel n’avait pourtant fourni aucune garantie tangible permettant de penser qu’il apporterait les montants colossaux mentionnés dans l’échéancier, et ce dans les délais impartis. Rien ne permettait aux recourants d’escompter une amélioration rapide et décisive de la situation de la société. Enfin, si les ressources financières de la société ne lui permettaient pas de payer les cotisations paritaires dans leur intégralité, les recourants auraient dû veiller à ce que ne soient versés que les salaires pour lesquels les créances de cotisations qui en découlaient de par la loi pouvaient être couvertes (cf. arrêts du Tribunal fédéral 9C_713/2013 et 9C_716/2013 du 30 mai 2014 consid.4.2.3 ; arrêt du Tribunal fédéral 9C_338/20017 du 21 avril 2008 consid. 3.2). Par conséquent, rien ne permet de considérer que les recourants avaient de sérieuses raisons de croire que la société pourrait être assainie et qu’ils seraient en mesure de solder les arriérés de cotisations à brève échéance.</w:t>
      </w:r>
    </w:p>
    <w:p>
      <w:r>
        <w:rPr>
          <w:b/>
        </w:rPr>
        <w:t>E. 14</w:t>
      </w:r>
    </w:p>
    <w:p>
      <w:r>
        <w:t>Les manquements des recourants relatifs au défaut de paiement des cotisations dues depuis le 1er janvier 2013 sont sans aucun doute possible en rapport de causalité avec le dommage subi par l’intimée. En effet, s’ils avaient correctement exécuté leur mandat, les recourants auraient veillé au paiement des cotisations d’assurances sociales ou pris les mesures qui s’imposaient. Et si l’attitude de l’actionnaire majoritaire les empêchait d’exercer leur devoir de surveillance, il leur appartenait de démissionner sans délai de leurs fonctions. En ce qui concerne les prétendus détournements commis par M. D______, on relèvera qu’un tel fait n’est pas de nature à interrompre la causalité adéquate car il ne constitue pas une circonstance tout à fait exceptionnelle ni n’apparaît si extraordinaire que l’on ne pouvait pas s’y attendre, étant rappelé que les recourants ont renoncé à assumer leur mandat conformément à leurs obligations légales. De surcroît, il sera relevé que les bilans démontrent que les montants de la caisse de la société étaient inférieurs à CHF 280.- depuis 2010 et que les créances enregistrées sous la mention « débiteurs société affiliée » n’ont cessé de s’accroître, passant de CHF 160’000.- en 2009 à plus de CHF 2’100’000.- au 30 septembre 2013. Compte tenu de l’augmentation constante et massive de ces créances, sans que des garanties</w:t>
      </w:r>
    </w:p>
    <w:p>
      <w:r>
        <w:t>A/4037/2017 - 19/20 - ne soient fournies sur les possibilités de les recouvrer dans un avenir proche, les recourants auraient dû faire preuve d’une vigilance particulière.</w:t>
      </w:r>
    </w:p>
    <w:p>
      <w:r>
        <w:rPr>
          <w:b/>
        </w:rPr>
        <w:t>E. 15</w:t>
      </w:r>
    </w:p>
    <w:p>
      <w:r>
        <w:t>Au vu de ce qui précède, la responsabilité des recourants est engagée au sens de l’art. 52 LAVS. Ils répondent ainsi du dommage résultant du non-paiement des cotisations afférentes aux salaires versés entre le 1er janvier 2013 et le prononcé de la faillite de la société.</w:t>
      </w:r>
    </w:p>
    <w:p>
      <w:r>
        <w:rPr>
          <w:b/>
        </w:rPr>
        <w:t>E. 16</w:t>
      </w:r>
    </w:p>
    <w:p>
      <w:r>
        <w:t>Quant au montant du dommage, il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Les éventuelles amendes prononcées par la caisse de compensation ne font pas partie du dommage et doivent le cas échéant être déduites (arrêt du Tribunal fédéral des assurances H 142/03 du 19 août 2003 consid. 5.5). En l’espèce, les recourants ne remettent pas en cause la somme réclamée. La chambre de céans relèvera à toutes fins utiles que le dommage annoncé comprend les montants des cotisations calculées sur les salaires déclarés pour 2013 (CHF 396’292.-), ainsi que les frais administratifs, de sommation, de poursuite et les intérêts moratoires, sous déduction des montants versés, ce qui est conforme aux prescriptions en vigueur.</w:t>
      </w:r>
    </w:p>
    <w:p>
      <w:r>
        <w:rPr>
          <w:b/>
        </w:rPr>
        <w:t>E. 17</w:t>
      </w:r>
    </w:p>
    <w:p>
      <w:r>
        <w:t>Au vu de ce qui précède, les recours sont rejetés. Pour le surplus, la procédure est gratuite (art. 61 let. a LPGA).</w:t>
      </w:r>
    </w:p>
    <w:p>
      <w:r>
        <w:t>A/4037/2017 - 20/20 -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