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ATAS/202/2008 vom 3. Mai 2007</w:t>
      </w:r>
    </w:p>
    <w:p>
      <w:r>
        <w:t>GE Cour de justice, 2007-05-03, FR</w:t>
      </w:r>
    </w:p>
    <w:p>
      <w:r>
        <w:rPr>
          <w:b/>
        </w:rPr>
        <w:t xml:space="preserve">Quelle: </w:t>
      </w:r>
      <w:r>
        <w:t>https://mcp.opencaselaw.ch/entscheid/ge_gerichte_ATAS_202_2008</w:t>
      </w:r>
    </w:p>
    <w:p>
      <w:r>
        <w:t>FR: GE_GERICHTE ATAS/202/2008 du 3 mai 2007</w:t>
      </w:r>
    </w:p>
    <w:p>
      <w:r>
        <w:t>IT: GE_GERICHTE ATAS/202/2008 del 3 maggio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w:t>
      </w:r>
    </w:p>
    <w:p>
      <w:r>
        <w:rPr>
          <w:b/>
        </w:rPr>
        <w:t>E. 3</w:t>
      </w:r>
    </w:p>
    <w:p>
      <w:r>
        <w:t>En l'occurrence, se pose tout d'abord la question de l'exequatur du jugement de divorce, lequel a été rendu par un juge français. a) S'agissant de la reconnaissance des jugements de divorce étrangers, il convient de se référer à la loi fédérale sur le droit international privé du 18 mars 1987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si elle est manifestement incompatible avec l’ordre public suisse.</w:t>
      </w:r>
    </w:p>
    <w:p>
      <w:r>
        <w:t>A/2784/2007 4/7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au Tribunal de céans de statuer, à titre préjudiciel, sur la reconnaissance en Suisse du jugement de divorce rendu le 3 mai 2007 par le Tribunal de grande instance de Thonon-les-Bains.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t>A/2784/2007 5/7</w:t>
      </w:r>
    </w:p>
    <w:p>
      <w:r>
        <w:rPr>
          <w:b/>
        </w:rPr>
        <w:t>E. 4</w:t>
      </w:r>
    </w:p>
    <w:p>
      <w:r>
        <w:t>En l’espèce, le juge français a ordonné le partage selon la convention du 29 mars 2007 annexée au jugement laquelle prévoit le versement d'une prestation compensatoire de 13'900 euros, soit 22'490 fr. 20 (selon le taux de change du 29 mars 2007 [1,6180] - www.oanda.com/convert/fxhistory). Le jugement de divorce est devenu définitif dès lors que les parties y ont acquiescé respectivement les 20 juin et 10 juillet 2007. Selon les indications fournies par la CIEPP, la prestation de sortie acquise par le demandeur du 27 juin 1996 au 31 juillet 2007 est de 38'457 fr. 40 (soit 48'783 fr. 35 - 10'325 fr. 95). La CIEPP a attesté du caractère réalisable de l'accord. Il y a lieu d'admettre que le jugement français est conforme à l'ordre public suisse. En conséquence, la convention conclue par les époux et ratifiée par le juge français est conforme au droit suisse et n'a pas non plus besoin d'être complétée. Qui plus est, aucun des demandeurs ne s'oppose à la reconnaissance du jugement français. Il y a ainsi lieu de reconnaître le jugement de divorce et d'exécuter le partage ordonné par le juge français, soit le versement par la CIEPP d'un montant de 22'490 fr. 20 en faveur de la demanderesse.</w:t>
      </w:r>
    </w:p>
    <w:p>
      <w:r>
        <w:rPr>
          <w:b/>
        </w:rPr>
        <w:t>E. 5</w:t>
      </w:r>
    </w:p>
    <w:p>
      <w:r>
        <w:t>a) Aux termes de l'art. 5 al. 1 LFLP, l'assuré peut exiger le paiement en espèces de la prestation de sortie : a. lorsqu’il quitte définitivement la Suisse; l’art. 25f est réservé; b. lorsqu’il s’établit à son compte et qu’il n’est plus soumis à la prévoyance professionnelle obligatoire; c. lorsque le montant de la prestation de sortie est inférieur au montant annuel des cotisations de l’assuré.</w:t>
      </w:r>
    </w:p>
    <w:p>
      <w:r>
        <w:t>b) En application de l'accord sur la libre circulation des personnes entre les Etats de l'Union européenne et la Suisse et le règlement CEE N° 1408/71 (art. 10. al.2), dès le 1er juin 2007, le versement en espèces de la partie obligatoire d'une prestation de libre passage n'est plus possible en cas de départ définitif de la Suisse si la personne concernée est assujettie à l' assurance d'un autre état membre de l'Union européenne ou de l'AELE. Toutefois, si une personne quitte la Suisse avant le 1er juin 2007, l'ancienne réglementation est applicable. En l'espèce, la demanderesse a été domiciliée à Genève du 26 janvier 1993 au 1er juillet 1995, puis du 1er juillet 1996 au 1er mars 1999 et dès cette date, elle est indiquée dans le fichier de l'Office cantonal de la population comme partie pour la France (Messery). Elle a d'ailleurs confirmé s'être domiciliée en France dès 2000. En conséquence, elle a droit au sens de l'art. 5.al.1 let. a LFLP, au versement en espèces de la prestation de sortie qui lui revient.</w:t>
      </w:r>
    </w:p>
    <w:p>
      <w:r>
        <w:rPr>
          <w:b/>
        </w:rPr>
        <w:t>E. 6</w:t>
      </w:r>
    </w:p>
    <w:p>
      <w:r>
        <w:t>a)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A/2784/2007 6/7 de l'ordonnance sur la prévoyance professionnelle vieillesse, survivants et invalidité du 18 avril 1984 (OPP 2) ou selon le taux réglementaire, si celui-ci est supérieur (ATF non publié B 36/02 du 18 juillet 2003). b) En l'espèce, selon le jugement de divorce le versement de la prestation compensatoire devait intervenir au plus tard dans un délai de deux mois dès le prononcé du divorce. Celui-ci étant entré en force à la date à laquelle les deux parties y ont acquiescé, soit le 10 juillet 2007, le délai de deux mois précité échoit le</w:t>
      </w:r>
    </w:p>
    <w:p>
      <w:r>
        <w:rPr>
          <w:b/>
        </w:rPr>
        <w:t>E. 10</w:t>
      </w:r>
    </w:p>
    <w:p>
      <w:r>
        <w:t>septembre 2007. Les intérêts compensatoires seront en conséquence dus dès cette date. 7. Aucun émolument ne sera perçu, la procédure étant gratuite (art. 73 al. 2 LPP et 89H al. 1 de la loi sur la procédure administrative du 12 septembre 1985).</w:t>
      </w:r>
    </w:p>
    <w:p>
      <w:r>
        <w:t>A/2784/2007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