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ATAS/201/2018 vom 5. März 2018</w:t>
      </w:r>
    </w:p>
    <w:p>
      <w:r>
        <w:t>GE Cour de justice, 2018-03-05, FR</w:t>
      </w:r>
    </w:p>
    <w:p>
      <w:r>
        <w:rPr>
          <w:b/>
        </w:rPr>
        <w:t xml:space="preserve">Quelle: </w:t>
      </w:r>
      <w:r>
        <w:t>https://mcp.opencaselaw.ch/entscheid/ge_gerichte_ATAS_201_2018</w:t>
      </w:r>
    </w:p>
    <w:p>
      <w:r>
        <w:t>FR: GE_GERICHTE ATAS/201/2018 du 5 mars 2018</w:t>
      </w:r>
    </w:p>
    <w:p>
      <w:r>
        <w:t>IT: GE_GERICHTE ATAS/201/2018 del 5 marzo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A/2721/2017 - 17/23 -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(art. 56ss LPGA), le présent recours est recevable.</w:t>
      </w:r>
    </w:p>
    <w:p>
      <w:r>
        <w:rPr>
          <w:b/>
        </w:rPr>
        <w:t>E. 4</w:t>
      </w:r>
    </w:p>
    <w:p>
      <w:r>
        <w:t>Le litige porte sur le degré d’invalidité du recourant depuis 1er juillet 2016.</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w:t>
      </w:r>
    </w:p>
    <w:p>
      <w:r>
        <w:t>A/2721/2017 - 18/23 - Aux termes de l’art. 17 al. 1 LPGA, si le taux d'invalidité du bénéficiaire de la rente subit une modification notable, la rente est, d'office ou sur demande, révisée pour l'avenir, à savoir augmentée ou réduite en conséquence, ou encore supprimée.</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A/2721/2017 - 19/23 -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L’intimé a admis l’octroi d’une rente entière d’invalidité du 1er septembre 2015 au 30 juin 2016, se fondant sur l’aggravation de l’état de santé du recourant pour des motifs psychiques. Il a en revanche considéré que la capacité de travail du recourant était à nouveau de 50 % dès le 15 juin 2016, se fondant sur les expertises des Drs G______ et I______. S’agissant des rapports du Dr G______, il convient de relever ce qui suit. Au plan formel, cet expert a établi sa première expertise en se fondant sur quatre rapports du Dr G______. Il n’avait ainsi pas connaissance des images radiologiques ou de l’expertise du Dr C______ lorsqu’il a émis ses premières conclusions. Pour ce motif déjà, elle ne saurait se voir reconnaître valeur probante, eu égard aux critères dégagés par le Tribunal fédéral. Il est vrai que le Dr G______ a par la suite eu accès à ces documents et qu’il a confirmé ses conclusions. Cela ne suffit toutefois pas à pallier le fait que sa première expertise a été rendue sans qu’il dispose de tous les éléments médicaux pertinents. Sur le fond, le premier rapport du Dr G______ n’emporte du reste pas la conviction. En premier lieu, ce médecin fait état de probables nombreuses « préoccupations à domicile et peut-être familiales », nonobstant les dénégations du recourant sur ce point. Or, cette assertion n’est étayée par aucun élément factuel. On notera en particulier que les rapports du Dr D______ ne permettent pas de conclure à l’existence de tels éléments. Elle relève ainsi de la spéculation et n’a pas sa place dans une expertise. Il faut également souligner que l’expert a examiné le recourant deux jours après une injection de Botox®, alors qu’il est établi selon les explications du Dr D______ que le traitement est efficace dans les premières semaines mais que ses effets s’estompent progressivement par la suite, et que le recourant doit alors faire face à une recrudescence des symptômes. Autrement dit,</w:t>
      </w:r>
    </w:p>
    <w:p>
      <w:r>
        <w:t>A/2721/2017 - 20/23 - vu le moment auquel a eu lieu l’examen, il n’est pas certain que le Dr G______ ait pu mesurer l’intensité des troubles du recourant, croissante après l’efficacité initiale de chaque injection. S’agissant des constatations relevées au status, il paraît pour le moins contradictoire que le Dr G______ ne retienne aucune anomalie hormis le torticolis, alors qu’il a évoqué la présence de contractures musculaires. Quant aux diagnostics retenus, on relève que le Dr G______ ignore les troubles du rachis ressortant des documents radiologiques. En ce qui concerne les diagnostics psychiques posés, dont la labilité émotionnelle et l’état dépressif réactionnel, il s’agit d’atteintes qui sortent du domaine de compétence du neurologue, à l’instar du burn out évoqué quelques lignes plus loin. Sur ce point, il eût en outre été utile que le Dr G______ indique les critères diagnostiques et les constatations sur lesquels il se fondait pour conclure à leur existence. Les conclusions du Dr G______ quant à la capacité de travail du recourant sont également empreintes de contradictions. En premier lieu, il est surprenant que ce médecin fasse état de limitations liées à la douleur et mentionne un syndrome douloureux chronique, alors qu’il existe des atteintes objectivées, soit le torticolis spasmodique et les pathologies du rachis. Il est en outre contradictoire qu’il qualifie le traitement d’approprié, tout en insistant sur la nécessité de plusieurs adaptations. Il est tout aussi contradictoire de considérer que les douleurs ne sont pas incompatibles avec la reprise du travail, en admettant que le syndrome douloureux doit d’abord se stabiliser. Le complément d’expertise rendu par le Dr G______ du 3 octobre 2016 ne peut pas non plus se voir reconnaître valeur probante. S’agissant en premier lieu du diagnostic d’osteogenesis imperfecta, qu’il écarte en raison de l’absence alléguée de fractures multiples, il ressort de l’anamnèse du Dr C______ – qu’aucun élément ne permet de mettre en doute – que le recourant a bien subi de telles fractures. Quant aux troubles psychiques, sur lesquels le Dr G______ insiste une nouvelle fois, il est inexact d’affirmer qu’ils auraient déjà été mentionnés par le Dr C______, qui a précisément exclu une pathologie de cet ordre malgré les difficultés que le recourant rencontrait en raison de son état de santé. Le Dr G______ affirme une nouvelle fois que les douleurs ne sont pas imputables à l’atteinte neurologique. Il ne donne cependant aucune explication scientifique étayant sa position, si bien qu’on ne saurait s’y rallier. On comprend du reste mal la pertinence de la littérature à laquelle il se réfère, puisque les douleurs du recourant ne relèvent pas uniquement de céphalées d’une part, et que le fait qu’elles s’observent chez des sujets ne souffrant pas de torticolis spasmodique ne signifie pas encore que cette atteinte ne puisse pas entraîner de tels maux chez ceux qui en sont atteints d’autre part. Eu égard à ces éléments, les conclusions du Dr G______ ne peuvent être suivies. Le SMR a admis une incapacité de travail totale dès le 19 juin 2017, en s’appuyant sur les indications du Dr D______. Il affirme que ce n’est qu’à cette date que la dégradation de l’état de santé du recourant a été objectivée. C’est ici le lieu de rappeler que le juge apprécie la légalité des décisions attaquées en règle générale</w:t>
      </w:r>
    </w:p>
    <w:p>
      <w:r>
        <w:t>A/2721/2017 - 21/23 - d’après l’état de fait existant au moment où la décision litigieuse a été rendue (arrêt du Tribunal fédéral des assurances I 585/04 du 3 octobre 2005 consid. 1). Or, l’aggravation admise par le SMR se manifeste par le fait que le recourant doit tenir sa tête d’une main en raison de la déviation, par une perte de force du membre supérieur gauche et par des signes de souffrance médullaire. L’intimé ne saurait être suivi en tant qu’il affirme que l’aggravation ne peut être prise en considération dès lors qu’elle aurait été rapportée pour la première fois par le Dr D______ le 19 juin 2017. En premier lieu, ce médecin signalait le 26 mai 2016 déjà que l’efficacité décroissante du Botox® avait pour conséquence la déviation pratiquement constante de la tête vers la gauche, et il précisait en juillet 2016 que le recourant devait tenir sa tête de la main en raison de ces déviations. En outre, le SMR a admis que les signes d’aggravation ressortaient également de l’IRM, qui est antérieure à la décision querellée. Sur ce point, l’argument de l’intimé, selon lequel l’IRM ne suffit pas à objectiver des troubles, tombe à faux. S’il est vrai que certaines découvertes radiologiques sont asymptomatiques et qu’elles ne suffisent pas à fonder un droit aux prestations, tel n’est pas le cas en l’espèce. En effet, de l’admission même du SMR, le rapport d’imagerie confirme une dégradation physique dont le recourant s’était plaint depuis plusieurs mois. Sur ce point, on renverra également au rapport du Dr K______ du 13 juin 2016, auprès duquel le recourant a fait état d’une aggravation des douleurs et d’irradiations douloureuses du membre supérieur gauche. On peut encore relever sur ce point qu’il est inexact d’affirmer que le Dr K______ aurait nié une incapacité de travail, puisque ce dernier s’est référé sur ce point à l’appréciation du Dr D______. De plus, contrairement à ce que l’intimé affirme, le neurologue traitant n’a nullement mentionné que l’aggravation des troubles était récente dans son rapport du 19 juin 2017, mais il a au contraire précisé que cette aggravation remontait à environ une année, ce qu’il a encore confirmé dans son rapport de novembre 2017. Aucun élément ne permet de mettre en doute ce point. Dans ces conditions, même s’il fallait considérer à l’instar de l’intimé que ce n’est qu’en juin 2017 que l’aggravation a été dûment décrite, cela ne justifierait pas d’en faire abstraction. En effet, l’élément déterminant pour le début du droit aux prestations – sous réserve du caractère non tardif de la demande – n’est pas la date à laquelle les atteintes ont été mentionnées, mais bien celle à laquelle elles sont apparues et ont déployé des effets sur la capacité de gain d’un assuré. Prendre en compte les seuls éléments dont l’assurance a eu connaissance avant de rendre sa décision, en excluant ceux qui lui sont antérieurs mais qui n’ont été signalés qu’au cours de la procédure de recours, violerait l’interdiction du formalisme excessif résultant des art. 9 et 29 al. 1 de la Constitution (Cst – RS 101), dès lors que cela compliquerait de manière insoutenable la réalisation du droit matériel (cf. arrêt du Tribunal fédéral 9C_761/2015 du 3 mai 2016 consid. 4).</w:t>
      </w:r>
    </w:p>
    <w:p>
      <w:r>
        <w:t>A/2721/2017 - 22/23 - Partant, force est d’admettre que l’aggravation fondant l’incapacité de travail totale pour des motifs somatiques admise par le SMR était déjà survenue en juin 2016, date à laquelle l’incapacité de travail totale pour des motifs psychiques a pris fin selon les conclusions du Dr I______. Ainsi, la décision de l’intimé doit être annulée en tant qu’elle limite le droit du recourant à une rente entière au 30 juin 2016.</w:t>
      </w:r>
    </w:p>
    <w:p>
      <w:r>
        <w:rPr>
          <w:b/>
        </w:rPr>
        <w:t>E. 9</w:t>
      </w:r>
    </w:p>
    <w:p>
      <w:r>
        <w:t>Eu égard aux éléments qui précèdent, le recours est admis. Le recourant, qui obtient gain de cause, a droit à des dépens qui seront fixés à CHF 3'000.- (art. 61 let. g LPGA). La procédure en matière d’assurance-invalidité n'étant pas gratuite (art. 69 al. 1bis LAI), l’intimé sera condamné au paiement d’un émolument de CHF 500.-</w:t>
      </w:r>
    </w:p>
    <w:p>
      <w:r>
        <w:t>A/2721/2017 - 23/23 -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