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ATAS/200/2025 vom 24. März 2025</w:t>
      </w:r>
    </w:p>
    <w:p>
      <w:r>
        <w:t>GE Cour de justice, 2025-03-24, FR</w:t>
      </w:r>
    </w:p>
    <w:p>
      <w:r>
        <w:rPr>
          <w:b/>
        </w:rPr>
        <w:t xml:space="preserve">Quelle: </w:t>
      </w:r>
      <w:r>
        <w:t>https://mcp.opencaselaw.ch/entscheid/ge_gerichte_ATAS_200_2025</w:t>
      </w:r>
    </w:p>
    <w:p>
      <w:r>
        <w:t>FR: GE_GERICHTE ATAS/200/2025 du 24 mars 2025</w:t>
      </w:r>
    </w:p>
    <w:p>
      <w:r>
        <w:t>IT: GE_GERICHTE ATAS/200/2025 del 24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du recourant à une rente d’invalidité supérieure à une demi-rente d’invalidité.</w:t>
      </w:r>
    </w:p>
    <w:p>
      <w:r>
        <w:rPr>
          <w:b/>
        </w:rPr>
        <w:t>E. 3</w:t>
      </w:r>
    </w:p>
    <w:p>
      <w:r>
        <w:t>Le 1er janvier 2022, les modifications de la LAI du 19 juin 2020 (développement continu de l’AI ; RO 2021 705), y compris les ordonnances correspondantes, sont entrées en vigueur. Dans le cadre de cette révision, l'art. 17 LPGA a notamment été adapté. Conformément aux dispositions transitoires de la modification du 19 juin 2020 let. c, l'ancien droit s'applique toutefois aux bénéficiaires de rente dont le droit à la rente a pris naissance avant l'entrée en vigueur de la modification et qui ont 55 ans révolus au moment de l'entrée en vigueur de la modification. En l’occurrence, le recourant était âgé âgée de 60 ans au 1er janvier 2022 et son droit à la rente est né avant cette date, de sorte que les dispositions légales applicables seront citées dans leur ancienne teneur.</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w:t>
      </w:r>
    </w:p>
    <w:p>
      <w:r>
        <w:t>A/3434/2024 - 7/11 -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4.1</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w:t>
      </w:r>
    </w:p>
    <w:p>
      <w:r>
        <w:t>A/3434/2024 - 5/11 -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144 I 103 consid. 2.1 ;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w:t>
      </w:r>
    </w:p>
    <w:p>
      <w:r>
        <w:rPr>
          <w:b/>
        </w:rPr>
        <w:t>E. 4.2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w:t>
      </w:r>
    </w:p>
    <w:p>
      <w:r>
        <w:t>A/3434/2024 - 6/11 - prises en compte pour juger de la présence d’une incapacité de gain. De plus, il n’y a incapacité de gain que si celle-ci n’est pas objectivement surmontable (al. 2 en vigueur dès le 1er janvier 2008).</w:t>
      </w:r>
    </w:p>
    <w:p>
      <w:r>
        <w:rPr>
          <w:b/>
        </w:rPr>
        <w:t>E. 4.3</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4.4.1.3</w:t>
      </w:r>
    </w:p>
    <w:p>
      <w:r>
        <w:t>et 4.4.1.4). Un renvoi à l’administration reste possible, notamment quand il est fondé uniquement sur une question restée complètement non instruite jusqu'ici, lorsqu'il s'agit de préciser un point de l'expertise ordonnée par</w:t>
      </w:r>
    </w:p>
    <w:p>
      <w:r>
        <w:t>A/3434/2024 - 9/11 - l'administration ou de demander un complément à l'expert (ATF 137 V 210 consid. 4.4.1.3 et 4.4.1.4 ; SVR 2010 IV n. 49 p. 151, consid. 3.5 ; arrêt du Tribunal fédéral 8C_760/2011 du 26 janvier 2012 consid. 3).</w:t>
      </w:r>
    </w:p>
    <w:p>
      <w:r>
        <w:rPr>
          <w:b/>
        </w:rPr>
        <w:t>E. 4.4.2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4.4.3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4.4.4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A/3434/2024 - 8/11 -</w:t>
      </w:r>
    </w:p>
    <w:p>
      <w:r>
        <w:rPr>
          <w:b/>
        </w:rPr>
        <w:t>E. 4.4.5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4.6</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w:t>
      </w:r>
    </w:p>
    <w:p>
      <w:r>
        <w:rPr>
          <w:b/>
        </w:rPr>
        <w:t>E. 5</w:t>
      </w:r>
    </w:p>
    <w:p>
      <w:r>
        <w:t>En l’occurrence, dans la décision litigieuse, l’intimé estime que l’état de santé du recourant ne s’est pas aggravé depuis la dernière décision de rente, ce que le recourant conteste tant du point de vue somatique que psychique.</w:t>
      </w:r>
    </w:p>
    <w:p>
      <w:r>
        <w:rPr>
          <w:b/>
        </w:rPr>
        <w:t>E. 5.1</w:t>
      </w:r>
    </w:p>
    <w:p>
      <w:r>
        <w:t>Du point de vue somatique, le recourant fait valoir l’avis de sa médecin traitante, la Dre D______. Dans son rapport du 23 septembre 2024, celle-ci retient des limitations fonctionnelles de contre-indication pour des travaux lourds, la prise de charges lourdes, des travaux répétitifs avec les membres supérieurs et des travaux à responsabilité. Elle considère que l’assuré état invalide à 100% après l’accident de 2002 et que, depuis, il a présenté une dégradation progressive tant sur le plan physique que psychiatrique. La chambre de céans constate que suite à l’accident de 2002, le recourant a été reconnu, non pas invalide à 100% comme le relève la Dre D______, mais capable de travailler dans une activité adaptée à ses limitations fonctionnelles à un taux de 50%, soit selon les conclusions du médecin d’arrondissement de la SUVA du 26 avril 2024, reprises par le SMR (avis du 25 janvier 2007), une activité sans marche de longue durée, ni déplacement en terrain inégal, ni station debout prolongée (avis du SMR du 25 juin 2007). Les limitations fonctionnelles décrites par la Dre D______ sont cependant bien plus importantes que celles retenues par la SUVA, suivies par l’intimé, dès lors qu’elles excluent les travaux répétitifs avec les membres supérieurs, la Dre D______ faisant par ailleurs état de douleurs au niveau du rachis lombaire, de blocages cervico-lombaires et d’une probable polyneuropathie. La Dre D______, sur la base de divers examens radiologiques, a en effet retenu un diagnostic nouveau de cervico-dorso-lombalgies aigu sur troubles statiques et dégénératifs de la colonne lombaire, sur hernies discale C3-C4, C4-C5 et C5-C6, sur probable instabilité cervico-lombaire, rétro listhésis de C3-C4 et de L5 et probable neuropathie. Elle a également fait état d’affection au genou gauche et aux hanches. Or, le SMR, dans ses avis des 26 novembre 2024 et 5 février 2025, ne s’est pas prononcé du tout sur les nouvelles atteintes somatiques alléguées. Dans ces conditions, il convient de renvoyer la cause à l’intimé afin qu’il mette en œuvre une expertise somatique à même d’évaluer l’impact sur la capacité de travail du recourant des nouvelles atteintes alléguées.</w:t>
      </w:r>
    </w:p>
    <w:p>
      <w:r>
        <w:rPr>
          <w:b/>
        </w:rPr>
        <w:t>E. 5.2</w:t>
      </w:r>
    </w:p>
    <w:p>
      <w:r>
        <w:t>Du point de vue psychiatrique en revanche, les rapports médicaux du Dr C______ ne sont pas à même d’établir une aggravation de l’état de santé</w:t>
      </w:r>
    </w:p>
    <w:p>
      <w:r>
        <w:t>A/3434/2024 - 10/11 - psychique du recourant dans une mesure telle que sa capacité de travail de 50% ne serait plus exigible. Le Dr C______ fait état d’une grande souffrance de l’assuré lors du Covid en 2020-2021 et d’un isolement social. Comme symptôme dépressif, l’assuré est ralenti, sans espoir, avec un sentiment de persécution, une thymie basse et des troubles du sommeil. Le diagnostic posé le 24 juillet 2024 est celui de trouble dépressif récurrent et la capacité de travail est jugée nulle depuis le 5 octobre 2021 (rapport du Dr C______ du 24 juillet 2024). Le 30 octobre 2024, le Dr C______ qualifie le trouble dépressif récurrent de sévère, avec symptômes psychotiques. Il indique une péjoration depuis mai 2024 suite à des difficultés de vie. Le 23 décembre 2024, il mentionne un sentiment paranoïaque de persécution, un traitement neurologique augmenté tout comme la fréquence des séances. Le 17 janvier 2025 enfin, il précise que les longs confinements ont provoqué les premières idées de persécution, réactivées début 2024 suite à des difficultés avec des créanciers. L’assuré présentait un ralentissement sévère, une tristesse et des pleurs fréquents. Comme relevé par le SMR, les limitations fonctionnelles décrites par le Dr C______ dans des rapports succincts ne sont pas de nature à retenir le diagnostic d’épisode dépressif sévère, ni un trouble psychotique durablement constitué. Par ailleurs, les troubles psychiatriques ont été pris en compte dans la demande initiale dès lors que l’expert B______, pour retenir une capacité de travail limitée à un taux de 50%, avait déjà constaté chez le recourant une motivation fortement réduite, une diminution des capacités adaptatives, un ralentissement psychomoteur, une diminution de l’aptitude à penser et une perturbation de la relation à autrui (expertise Dr B______, p. 14). Les rapports médicaux du Dr C______ ne permettent ainsi pas de conclure à une aggravation probable des limitations fonctionnelles déjà retenues dans l’expertise du Dr B______. Au demeurant, du point de vue psychiatrique, la capacité de travail du recourant doit être considérée comme étant de 50%, sans modification.</w:t>
      </w:r>
    </w:p>
    <w:p>
      <w:r>
        <w:rPr>
          <w:b/>
        </w:rPr>
        <w:t>E. 6</w:t>
      </w:r>
    </w:p>
    <w:p>
      <w:r>
        <w:t>Au vu de ce qui précède, le recours sera partiellement admis, la décision litigieuse annulée et la cause renvoyée à l’intimé pour instruction médicale somatique complémentaire et nouvelle décision. Pour le surplus, le recourant obtenant partiellement gain de cause, une indemnité de CHF 2'000.-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 bis LAI).</w:t>
      </w:r>
    </w:p>
    <w:p>
      <w:r>
        <w:t>A/3434/2024 - 11/11 -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