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ATAS/200/2023 vom 23. März 2023</w:t>
      </w:r>
    </w:p>
    <w:p>
      <w:r>
        <w:t>GE Cour de justice, 2023-03-23, FR</w:t>
      </w:r>
    </w:p>
    <w:p>
      <w:r>
        <w:rPr>
          <w:b/>
        </w:rPr>
        <w:t xml:space="preserve">Quelle: </w:t>
      </w:r>
      <w:r>
        <w:t>https://mcp.opencaselaw.ch/entscheid/ge_gerichte_ATAS_200_2023</w:t>
      </w:r>
    </w:p>
    <w:p>
      <w:r>
        <w:t>FR: GE_GERICHTE ATAS/200/2023 du 23 mars 2023</w:t>
      </w:r>
    </w:p>
    <w:p>
      <w:r>
        <w:t>IT: GE_GERICHTE ATAS/200/2023 del 23 marzo 2023</w:t>
      </w:r>
    </w:p>
    <w:p>
      <w:pPr>
        <w:pStyle w:val="Heading2"/>
      </w:pPr>
      <w:r>
        <w:t>Erwägungen</w:t>
      </w:r>
    </w:p>
    <w:p>
      <w:r>
        <w:rPr>
          <w:b/>
        </w:rPr>
        <w:t>E. 19</w:t>
      </w:r>
    </w:p>
    <w:p>
      <w:r>
        <w:t>septembre 2022. g. En substance, dans leur évaluation consensuelle, ils ont retenu les diagnostics de trouble anxieux et dépressif mixte pour le volet psychiatrique, ledit diagnostic n’ayant pas d’impact sur la capacité de travail d’un point de vue strictement psychiatrique ; de syndrome de surutilisation et d’hyperlaxité congénitale au niveau de l’articulation trapèzo-métacarpienne, pour le volet rhumatologique et aucune atteinte à la santé incapacitante n’a été retenue sous l’angle de la médecine interne. Au vu du trouble de la santé de nature rhumatologique, les experts ont confirmé que l’activité habituelle de l’assurée n’était plus envisageable, mais que cette dernière était toujours en mesure d’effectuer une activité adaptée, selon le profil d’effort. Les seules limitations fonctionnelles retenues concernaient le volet rhumatologique, l’assurée était capable d’effectuer un travail adapté en alternant les positions assise et debout, en limitant le port de charges, pour les membres supérieurs, à 3 kg, en évitant les activités de préhension fine au niveau de la main. Les gestes répétitifs, de type saisie sur ordinateur, écriture, utilisation d’appareils de bureau, ne devaient pas dépasser 15 minutes d’affilée, pour un maximum de deux heures par jour. Les experts considéraient que l’assurée bénéficiait de ressources internes significatives, qu’elle disposait de qualifications professionnelles et d’expériences professionnelles importantes et était autonome dans les tâches élémentaires de la vie quotidienne, pour les tâches que ses douleurs lui permettaient d’effectuer. Sur le plan des ressources externes, elle avait un réseau fourni avec un entourage soutenant, constitué de sa famille, de quatre ou cinq amis très proches et de son ami intime. Seul le volet rhumatologique faisait obstacle à une activité, aboutissant à une incapacité de travail de 100 % dans l’activité habituelle depuis 2017, mais les experts ne retenaient aucune incapacité de travail dans une activité adaptée à ses limitations fonctionnelles. Dans une telle activité, les experts considéraient que l’assurée pouvait travailler 8h25 par jour et que sa performance n’était pas réduite. D’un point de vue interdisciplinaire, aucun traitement n’était susceptible d’améliorer la capacité de travail si ce n’est un renforcement musculaire global, de manière à soulager autant que possible les articulations et à les stabiliser. h. Dans son rapport final daté du 17 octobre 2022, le SMR, sous la plume du docteur M______, a considéré que le rapport d’expertise était complet et convaincant et qu’il n’y avait pas de raison de s’en écarter dans toutes ses</w:t>
      </w:r>
    </w:p>
    <w:p>
      <w:r>
        <w:t>A/3876/2022 - 5/20 - conclusions. La capacité de travail dans l’activité habituelle était considérée comme nulle dès janvier 2017, mais dans une activité adaptée aux limitations fonctionnelles, le SMR estimait que la capacité de travail de l’assurée était entière, depuis toujours. C. En se fondant sur le rapport médical du SMR, l’OAI a rendu une décision du 20 octobre 2022, refusant une rente d’invalidité ainsi que des mesures professionnelles. Suite à la procédure d’audition et aux conclusions de l’expertise pluridisciplinaire, l’OAI reconnaissait une incapacité de travail de 100 % dans l’activité habituelle de l’assurée dès le 8 janvier 2017 (début du délai d’attente d’un an) et considérait que dans une activité adaptée à son état de santé, l’assurée bénéficiait d’une capacité de travail de 100 %, dès cette date. Procédant à une comparaison des gains au 1er janvier 2018, l’OAI a retenu un revenu sans invalidité de CHF 76'900.-, et un revenu avec invalidité de CHF 51'947.-, avec un abattement de 5 %, ce qui entraînait une perte de gain de CHF 24'953.-, soit un pourcentage d’invalidité de 32 %. Inférieur au taux plancher de 40 %, le taux d’invalidité de l’assurée ne donnait pas droit à des prestations sous forme de rente. Par acte posté le 21 novembre 2022, le mandataire de l’assurée a interjeté D. a. recours contre la décision du 20 octobre 2022 auprès de la chambre des assurances sociales de la Cour de justice (ci-après : la chambre de céans), concluant principalement à l’annulation de la décision et à ce que l’OAI soit condamné à verser à l’assurée une rente entière d’invalidité, sous suite de frais et de dépens. Préalablement, il était requis d’ordonner la comparution personnelle des parties, ainsi qu’une expertise judiciaire pluridisciplinaire, afin d’évaluer la capacité de travail de l’assurée dans une activité adaptée, compte tenu des limitations fonctionnelles retenues. b. Par réponse du 19 décembre 2022, l’OAI a considéré que l’expertise pluridisciplinaire administrative devait se voir reconnaître une pleine valeur probante, étant précisé que le diagnostic posé par l’expert rhumatologue était identique à celui posé par les Drs L______ et J______. S’agissant de la nouvelle pièce médicale produite par l’assurée dans le cadre de son recours, soit le rapport médical du 17 novembre 2022, rédigé par le docteur Q______, généraliste, le SMR de l’OAI considérait, dans son avis du 19 décembre 2022, qu’il n’amenait aucun élément médical objectif nouveau, dès lors que les éléments présentés avaient été pris en compte par les experts, et ne permettait donc pas de modifier l’appréciation du cas. Sur le plan d’une activité adaptée, l’OAI considérait que l’assurée disposait d’une formation académique, elle avait fait des stages professionnels pratiques lui permettant d’exploiter sa capacité résiduelle de travail, par exemple dans l’activité d’assistante en RH, de conseillère en personnel et placement. Enfin, s’agissant du grief concernant le taux d’abattement de 15 % en lieu et place de 5 %, il n’était pas motivé et l’OAI précisait avoir admis un abattement de 5 % pour tenir compte des limitations fonctionnelles, mais que les autres critères potentiellement admis n’entraient pas en ligne de compte, de sorte</w:t>
      </w:r>
    </w:p>
    <w:p>
      <w:r>
        <w:t>A/3876/2022 - 6/20 - que l’usage du pouvoir d’appréciation avait été exercé correctement. L’OAI concluait au rejet du recours. c. Par réplique du 23 janvier 2023, le mandataire de l’assurée a allégué que suite aux stages, les douleurs s’étaient accentuées et que selon les médecins, l’assurée ne pouvait pas exercer d’activité requérant un travail informatique de plusieurs heures quotidiennement. Pour le surplus, la recourante persistait dans ses conclusions. d. Par duplique du 8 février 2023, l’intimé a également persisté dans ses conclusions. e. Sur ce, la cause a été gardée à juger, ce dont les parties ont été informées. f. Les autres faits seront mentionnés, en tant que de besoin, dans la partie « en droit » du présent arrêt. 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 3. 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sur la base d’un état de fait déterminant antérieur au 1er janvier 2022, de sorte que les dispositions légales applicables seront citées dans leur ancienne teneur.</w:t>
      </w:r>
    </w:p>
    <w:p>
      <w:r>
        <w:t>A/3876/2022 - 7/20 - 4. Le délai de recours est de trente jours (art. 56 LPGA ; art. 62 al. 1 de la loi sur la procédure administrative du 12 septembre 1985 [LPA - E 5 10]). Interjeté dans le délai légal, le recours est recevable. 5. Le litige porte sur le bien-fondé de la décision de l’OAI du 20 octobre 2022 refusant l’octroi d’une rente d'invalidité.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 au moins, à un trois 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t>A/3876/2022 - 8/20 - 8.</w:t>
      </w:r>
    </w:p>
    <w:p>
      <w:r>
        <w:t>8.1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ATF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8.2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8.3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w:t>
      </w:r>
    </w:p>
    <w:p>
      <w:r>
        <w:t>A/3876/2022 - 9/20 -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8.4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8.5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8.6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w:t>
      </w:r>
    </w:p>
    <w:p>
      <w:r>
        <w:t>A/3876/2022 - 10/20 -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9.</w:t>
      </w:r>
    </w:p>
    <w:p>
      <w:r>
        <w:t>9.1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9.2 En l’occurrence, on rappellera que l’expert psychiatre n’a retenu aucune incapacité de travail, aussi bien dans la profession habituelle que dans une activité adaptée, ce qui n’est pas contesté par la recourante.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t>A/3876/2022 - 11/20 - 11.</w:t>
      </w:r>
    </w:p>
    <w:p>
      <w:r>
        <w:t>11.1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 11.2 Dans le cas présent, la chambre de céans considère, comme cela sera expliqué infra, que les pièces au dossier suffisent à répondre aux questions litigieuses et qu’il ne se justifie pas d’ordonner une comparution personnelle ou une expertise judiciaire, comme demandé par le mandataire de la recourante, ce d’autant moins que l’expertise administrative figurant au dossier est récente, dès lors qu’elle date du mois de septembre 2022. 12.</w:t>
      </w:r>
    </w:p>
    <w:p>
      <w:r>
        <w:t>12.1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12.2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w:t>
      </w:r>
    </w:p>
    <w:p>
      <w:r>
        <w:t>A/3876/2022 - 12/20 -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l’Enquête suisse sur la structure des salaires (ci-après : ESS) éditée par l'Office fédéral de la statistique (ci-après : l'OFS)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12.3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w:t>
      </w:r>
    </w:p>
    <w:p>
      <w:r>
        <w:t>A/3876/2022 - 13/20 - contraignantes (cf. arrêts du Tribunal fédéral 9C_603/2015 du 25 avril 2016 consid. 8.1 et 9C_242/2012 du 13 août 2012 consid. 3). Il convient de se référer à la version de l'ESS publiée au moment déterminant de la décision querellée (ATF 143 V 295 consid. 4). Dans un arrêt de principe, le Tribunal fédéral a estimé qu’il n’existe pas de motifs sérieux et objectifs justifiant une modification de sa jurisprudence relative à l’application des ESS dans le cadre de la détermination du degré d’invalidité des assurés (ATF 148 V 174). 12.4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135 V 297 consid. 5.2 ; ATF 134 V 322 consid. 5.2 et les références ;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12.5 Depuis la 10ème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p. 184). Le niveau</w:t>
      </w:r>
    </w:p>
    <w:p>
      <w:r>
        <w:t>A/3876/2022 - 14/20 - 1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w:t>
      </w:r>
    </w:p>
    <w:p>
      <w:r>
        <w:t>A/3876/2022 - 15/20 - valeur leur capacité de travail résiduelle, on ne saurait exiger d'eux qu'ils prennent des mesures incompatibles avec l'ensemble des circonstances objectives et subjectives (arrêt du Tribunal fédéral 9C_1066/2009 du 22 septembre 2010 consid. 4.1 et la référence). 12.6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 Lorsque les revenus avec et sans invalidité sont basés sur la même tabelle statistique, il n'est pas nécessaire de les chiffrer précisément, dans la mesure où le taux d'invalidité se confond avec le taux d'incapacité de travail.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(arrêt du Tribunal fédéral 9C_842/2018 du 7 mars 2019 consid. 5.1 et les références). 12.7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12.8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13. En l’espèce, la recourante conteste le taux d’invalidité retenu par l’intimé et met en doute la valeur probante des expertises médicales sur lesquelles l’OAI s’est</w:t>
      </w:r>
    </w:p>
    <w:p>
      <w:r>
        <w:t>A/3876/2022 - 16/20 - fondé. S’agissant de la comparaison des revenus, la recourante conteste le taux d’abattement de 5 % appliqué par l’OAI et considère qu’un taux de 15 % aurait dû être retenu en lieu et place. L’intimé, de son côté, considère que le rapport d’expertise pluridisciplinaire du 19 septembre 2022 présente une entière valeur probante et a tenu compte des diagnostics des Drs L______ et J______. Selon l’OAI, l’instruction du dossier est complète et permet de statuer en pleine connaissance de cause. S’agissant de la nouvelle pièce médicale du Dr Q______, généraliste, produite dans le cadre du recours, le SMR de l’OAI, dans son avis du 19 décembre 2022, considère qu’elle n’apporte aucun élément objectif nouveau. 13.1 Il sied tout d’abord d’examiner les pièces médicales, et notamment la valeur probante de l’expertise pluridisciplinaire réalisée le 19 septembre 2022. Les rapports d’expertise dans les différentes spécialités correspondent en tous points aux exigences en la matière. Ils ont été établis en parfaite connaissance du dossier médical, dont la lecture a été complétée par un entretien d’environ une heure pour chaque spécialiste avec la recourante. Les rapports contiennent en outre une anamnèse personnelle, familiale et professionnelle très fouillée, et les experts ont rapporté leurs observations cliniques de manière détaillée à la suite d’un entretien approfondi. Les diagnostics retenus sont soigneusement motivés, et les experts ont précisé sur quels critères ils se fondaient. Ils ont bien analysé la capacité de gain de la recourante à la lumière des indicateurs développés par la jurisprudence. Ils ont, en outre, exposé de manière convaincante pour quelles raisons ils se ralliaient aux avis des autres intervenants ou au contraire s’en écartaient. Leurs conclusions sont elles aussi claires et motivées. Dans leur consilium, les experts ont rassemblé les différents diagnostics dont ils ont retenu que seul le diagnostic d’un point de vue rhumatologique entraînait des limitations fonctionnelles, lesquelles ont été précisément exposées. L’expert rhumatologue a confirmé le syndrome de surutilisation et le diagnostic du Dr J______ ainsi que le syndrome d’hyperlaxité généralisée confirmé par le Dr L______. À la lecture de l’expertise, on ne constate pas de contradictions internes ni même de contradictions avérées avec les avis des Drs J______ et L______. S’agissant de l’ultime pièce produite par la recourante, soit le courrier du 31 janvier 2023 du docteur R______, médecin-chef au département de l’appareil locomoteur, consultation de médecine physique et réhabilitation du centre hospitalier universitaire vaudois, ce dernier confirme le syndrome d’Ehlers Danlos quant à l’hypermobilité et expose d’autres troubles physiques régulièrement associés au syndrome d’Ehlers Danlos. Le médecin reconnaît une capacité théorique de 100 % tout en ajoutant que, selon lui, d’autres éléments seraient de nature à réduire cette capacité qui en fin de compte, dans un travail adapté, pourrait être comprise entre 50 et 80 %.</w:t>
      </w:r>
    </w:p>
    <w:p>
      <w:r>
        <w:t>A/3876/2022 - 17/20 - Il sied, tout d’abord, de préciser que la pièce médicale en question est postérieure à la décision attaquée.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Néanmoins, le Tribunal fédéral admet que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ce qui est le cas en l’espèce. Il s’ensuit que l’appréciation médicale du Dr R______ peut être examinée. D’une part, l’expertise pluridisciplinaire est récente, puisqu’elle date du 19 septembre 2022, et d’autre part, l’avis médical du Dr R______ s’éloigne des conclusions de l’expertise, uniquement sur l’appréciation de la capacité de travail, sans détailler toutefois, avec précision, par quels moyens il parvient à estimer une capacité de travail dans une activité adaptée allant de 50 à 80 %. Partant, la chambre de céans considère qu’il s’agit d’une divergence d’appréciation qui ne remet pas pour autant en question la pleine valeur probante de l’expertise pluridisciplinaire du 19 septembre 2022, étant rappelé que le juge peut et doit tenir compte du fait que, selon l'expérience, le médecin traitant est généralement enclin, en cas de doute, à prendre parti pour son patient en raison de la relation de confiance qui l'unit à ce dernier (ATF 125 V 351 consid. 3b/cc). Compte tenu de ce qui précède, la chambre de céans considère que les rapports d’expertise pluridisciplinaire présentent une pleine valeur probante et retient comme établi, au degré de la vraisemblance prépondérante, que la recourante dispose d’une capacité de travail de 100 % dans une activité adaptée à ses limitations fonctionnelles. 13.2 S’agissant du deuxième grief, de la recourante, soit le taux de 5 % retenu comme taux d’abattement par l’OAI, il convient de rappeler que la recourante étant née en 1989, le critère de l’âge n’entre pas en ligne de compte pour le calcul de l’abattement. Seules les limitations fonctionnelles semblent pouvoir entrer en ligne de compte dans le calcul du taux d’abattement. À cet égard, et à titre de comparaison, on rappellera qu’une unilatéralité de fait ou une restriction de la main dominante peut justifier un abattement compris entre 20 % et 25 % (arrêts du Tribunal fédéral 9C_363/2017 du 22 juin 2018 consid. 4.3 et 9C_396/2014 du 15 avril 2015 consid. 5.2). Dans le cas d’espèce, la recourante peut se servir de ses deux mains malgré les restrictions quant à certains mouvements, ce qui implique, par</w:t>
      </w:r>
    </w:p>
    <w:p>
      <w:r>
        <w:t>A/3876/2022 - 18/20 - comparaison avec la jurisprudence citée supra, un taux d’abattement forcément inférieur à 20 %. Le taux de 15 %, en lieu et place de 5 %, avancé par la recourante n’est pas motivé, le mandataire de cette dernière se contentant d’alléguer qu’il « appert dans le cadre du calcul du taux d’invalidité que l’abattement pris en compte est insuffisant, au vu des circonstances. Un abattement de 15 % aurait dû être pratiqué sur le revenu d’invalide ». Aucune jurisprudence ou restriction pouvant objectivement justifier ce taux n’est mentionnée. Contrairement à ce qu’allègue la recourante, qui prétend ne pas avoir de formation complète mis à part dans l’horlogerie et comme assistante en gestion du personnel, ce qui serait selon elle incompatible avec ses limitations fonctionnelles, on constate à la lecture du curriculum vitae de la recourante que cette dernière a été responsable d’équipe en l’absence de sa supérieure. Elle s’est chargée notamment de la distribution du travail et de l’étude de projets. Elle a également été active en tant que coursière et agente de sécurité. Elle dispose aussi d’une formation en langage non verbal et en fondamentaux de la communication qui peut être utile dans d’autres activités que celles des RH. En ce qui concerne les restrictions dans le domaine des RH, notamment rappelées par la recourante dans son courrier du 23 janvier 2023, elles ne concernent que la limitation de l’utilisation du clavier d’ordinateur, pour moins de quinze minutes d’affilée et pas plus de deux heures par jour. Moyennant une certaine organisation dans les tâches, voire l’utilisation d’un logiciel de dictée à l’écran, ces restrictions n’empêchent pas forcément une activité adaptée aux limitations fonctionnelles dans le domaine des RH. Cependant, il convient d’admettre que les restrictions temporelles d’utilisation du clavier d’ordinateur citées supra entraînent probablement un taux d’abattement supérieur à 5 % et que la chambre de céans, selon sa libre appréciation, fixera à 10 %. Compte tenu de ce taux d’abattement, il convient de revoir le calcul de comparaison des revenus qui, par ailleurs, ne fait pas l’objet de critiques de la part de la recourante. En se fondant sur l’ESS 2018, tableau TA1 tirage skill level, l’OAI retient un salaire après indexation de CHF 54'681.-, duquel il convient de soustraire 10 % compte tenu de l’abattement retenu supra. On parvient ainsi à un revenu annuel brut, avec invalidité, de CHF 49'213.-, en lieu et place de CHF 51'947.-. En se fondant sur un revenu annuel brut sans invalidité, réactualisé, de CHF 76'900.-, la perte de gain subie s’élève à 27’687.- en lieu et place de 24’953.- ce qui permet d’aboutir à un taux d’invalidité de 36 %, avec un taux d’abattement de 10 %, en lieu et place de 32.45 % avec le taux d’abattement de 5 % retenu par l’OAI dans la décision querellée.</w:t>
      </w:r>
    </w:p>
    <w:p>
      <w:r>
        <w:t>A/3876/2022 - 19/20 - Ce taux étant inférieur au taux plancher de 40 % ne donne toutefois pas droit à une rente. 13.3 Enfin, la recourante soutient qu’elle ne voit pas quel poste pourrait être adapté à ses limitations fonctionnelles. Or,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En l’occurrence, aucun élément objectif ne permet de retenir qu’il n’existe pas, sur le marché du travail, de poste adapté aux limitations fonctionnelles de la recourante. 14. Compte tenu de ce qui précède, la chambre de céans n’a d’autre choix que de rejeter le recours et de condamner la recourante au paiement d'un émolument de CHF 200.- (art. 69 al.1bis LAI).</w:t>
      </w:r>
    </w:p>
    <w:p>
      <w:r>
        <w:t>PAR CES MOTIFS, LA CHAMBRE DES ASSURANCES SOCIALES :</w:t>
      </w:r>
    </w:p>
    <w:p>
      <w:r>
        <w:t>A/3876/2022 - 20/20 -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