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ATAS/200/2011 vom 25. Februar 2011</w:t>
      </w:r>
    </w:p>
    <w:p>
      <w:r>
        <w:t>GE Cour de justice, 2011-02-25, FR</w:t>
      </w:r>
    </w:p>
    <w:p>
      <w:r>
        <w:rPr>
          <w:b/>
        </w:rPr>
        <w:t xml:space="preserve">Quelle: </w:t>
      </w:r>
      <w:r>
        <w:t>https://mcp.opencaselaw.ch/entscheid/ge_gerichte_ATAS_200_2011</w:t>
      </w:r>
    </w:p>
    <w:p>
      <w:r>
        <w:t>FR: GE_GERICHTE ATAS/200/2011 du 25 février 2011</w:t>
      </w:r>
    </w:p>
    <w:p>
      <w:r>
        <w:t>IT: GE_GERICHTE ATAS/200/2011 del 25 febbraio 2011</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w:t>
      </w:r>
    </w:p>
    <w:p>
      <w:r>
        <w:rPr>
          <w:b/>
        </w:rPr>
        <w:t>E. 2</w:t>
      </w:r>
    </w:p>
    <w:p>
      <w:r>
        <w:t>Interjeté dans les forme et délai prévus par la loi, le recours est recevable (art. 56 à 60 LPGA).</w:t>
      </w:r>
    </w:p>
    <w:p>
      <w:r>
        <w:rPr>
          <w:b/>
        </w:rPr>
        <w:t>E. 3</w:t>
      </w:r>
    </w:p>
    <w:p>
      <w:r>
        <w:t>Est litigieuse la question de savoir si les troubles présentés par la recourante aussi bien somatiques que psychiatriques constituent une invalidité au sens de l’AI engendrant une incapacité totale de gain.</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divergents au sujet de la question de l’invalidité de Madame S__________.</w:t>
      </w:r>
    </w:p>
    <w:p>
      <w:r>
        <w:rPr>
          <w:b/>
        </w:rPr>
        <w:t>E. 5</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w:t>
      </w:r>
    </w:p>
    <w:p>
      <w:r>
        <w:t>- 8/11-</w:t>
      </w:r>
    </w:p>
    <w:p>
      <w:r>
        <w:t>A/899/2010 selon lequel l’administration ou le juge devrait statuer, dans le doute, en faveur de l’assuré (ATF 126 V 322 consid. 5 let.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6</w:t>
      </w:r>
    </w:p>
    <w:p>
      <w:r>
        <w:t>En l'espèce, le Tribunal constate que les doutes émis par la recourante au sujet de la valeur probante des expertises du 3 juillet 2001 et 8 novembre 2005 sur lesquelles se base notamment l’OAI sont justifiées. En effet, les expertises mentionnées ci- dessus concluent à une capacité résiduelle de 50% alors que, selon la Dresse E________, l’incapacité de travail de la recourante est de 100% en raison de trouble dépressif récurrent, épisode actuel de degré moyen, avec symptômes somatiques et que selon le Dr. B__________ l’incapacité de travail est totale en qualité de nettoyeuse et que la capacité de travail n’est que de 30% en qualité d’aide cuisinière.</w:t>
      </w:r>
    </w:p>
    <w:p>
      <w:r>
        <w:rPr>
          <w:b/>
        </w:rPr>
        <w:t>E. 7</w:t>
      </w:r>
    </w:p>
    <w:p>
      <w:r>
        <w:t>Par conséquent, vu la jurisprudence susmentionnée vu le doute résultant des avis médicaux divergents, il y a lieu d'ordonner une expertise pluridisciplinaire de la recourante. En application des articles 38 et suivants de la loi sur la procédure administrative (LPA), un délai de 15 jours a été accordé aux parties pour indiquer les questions particulières qu'elles souhaitent voir figurer dans la mission d'expertise, ainsi que pour se déterminer sur le nom des experts, à savoir la Dresse</w:t>
      </w:r>
    </w:p>
    <w:p>
      <w:r>
        <w:t>- 9/11-</w:t>
      </w:r>
    </w:p>
    <w:p>
      <w:r>
        <w:t>A/899/2010 F________, spécialiste FMH médecine interne et rhumatologie et la Dresse G________, spécialiste en psychiatrie et psychothérapie, comme expert.</w:t>
      </w:r>
    </w:p>
    <w:p>
      <w:r>
        <w:rPr>
          <w:b/>
        </w:rPr>
        <w:t>E. 8</w:t>
      </w:r>
    </w:p>
    <w:p>
      <w:r>
        <w:t>Aussi bien la recourante que l’OAI ont approuvé la désignation des experts. A la demande du SMR, transmise par l’OAI, la Chambre des assurances sociales a rajouté la question suivante à la mission d’expertise : quelle est l’évolution objective de l’état de santé de la recourante depuis juin 2005. Pour sa part, la recourante n’a pas souhaité poser des questions complémentaires. ***</w:t>
      </w:r>
    </w:p>
    <w:p>
      <w:r>
        <w:t>- 10/11-</w:t>
      </w:r>
    </w:p>
    <w:p>
      <w:r>
        <w:t>A/899/2010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