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ATAS/1/2024 vom 8. Januar 2024</w:t>
      </w:r>
    </w:p>
    <w:p>
      <w:r>
        <w:t>GE Cour de justice, 2024-01-08, FR</w:t>
      </w:r>
    </w:p>
    <w:p>
      <w:r>
        <w:rPr>
          <w:b/>
        </w:rPr>
        <w:t xml:space="preserve">Quelle: </w:t>
      </w:r>
      <w:r>
        <w:t>https://mcp.opencaselaw.ch/entscheid/ge_gerichte_ATAS_1_2024</w:t>
      </w:r>
    </w:p>
    <w:p>
      <w:r>
        <w:t>FR: GE_GERICHTE ATAS/1/2024 du 8 janvier 2024</w:t>
      </w:r>
    </w:p>
    <w:p>
      <w:r>
        <w:t>IT: GE_GERICHTE ATAS/1/2024 del 8 gennaio 2024</w:t>
      </w:r>
    </w:p>
    <w:p>
      <w:pPr>
        <w:pStyle w:val="Heading2"/>
      </w:pPr>
      <w:r>
        <w:t>Erwägungen</w:t>
      </w:r>
    </w:p>
    <w:p>
      <w:r>
        <w:rPr>
          <w:b/>
        </w:rPr>
        <w:t>E. 1.1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1.4</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le droit à la rente de la recourante est né antérieurement au 31 décembre 2021, de sorte que les dispositions applicables seront citées dans leur ancienne teneur. En outre, dans la mesure où la recourante avait, au 1er décembre 2022, 30 ans révolus mais moins de 55 ans, la quotité de sa rente subsiste tant que son taux d’invalidité ne subit pas de modification.</w:t>
      </w:r>
    </w:p>
    <w:p>
      <w:r>
        <w:rPr>
          <w:b/>
        </w:rPr>
        <w:t>E. 1.5</w:t>
      </w:r>
    </w:p>
    <w:p>
      <w:r>
        <w:t>Le délai de recours est de 30 jours (art. 56 LPGA; art. 62 al. 1 de la loi sur la procédure administrative du 12 septembre 1985 [LPA - E 5 10]). Interjeté dans la forme et le délai prévus par la loi, le recours est recevable.</w:t>
      </w:r>
    </w:p>
    <w:p>
      <w:r>
        <w:t>A/3075/2023 - 4/9 -</w:t>
      </w:r>
    </w:p>
    <w:p>
      <w:r>
        <w:rPr>
          <w:b/>
        </w:rPr>
        <w:t>E. 2</w:t>
      </w:r>
    </w:p>
    <w:p>
      <w:r>
        <w:t>Le litige porte sur le droit de la recourante à une rente d’invalidité d’un taux supérieur à un quart, singulièrement sur son statut et l’évaluation de sa capacité de travail.</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w:t>
      </w:r>
    </w:p>
    <w:p>
      <w:r>
        <w:t>A/3075/2023 - 6/9 -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4</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5</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w:t>
      </w:r>
    </w:p>
    <w:p>
      <w:r>
        <w:t>A/3075/2023 - 5/9 - des enfants, l'âge de l'assuré, ses qualifications professionnelles, sa formation ainsi que ses affinités et talents personnels (ATF 144 I 28 consid. 2.3 ;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ATF 141 V 15 consid. 3.1 ; ATF 137 V 334 consid. 3.2 ; ATF 125 V 146 consid. 2c ainsi que les références).</w:t>
      </w:r>
    </w:p>
    <w:p>
      <w:r>
        <w:rPr>
          <w:b/>
        </w:rPr>
        <w:t>E. 6</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7.1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7.2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7.3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w:t>
      </w:r>
    </w:p>
    <w:p>
      <w:r>
        <w:t>A/3075/2023 - 7/9 -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10</w:t>
      </w:r>
    </w:p>
    <w:p>
      <w:r>
        <w:t>En l’occurrence, l’intimé a considéré, sur la base de l’avis du SMR du 3 août 2022, que la recourante était capable de travailler à un taux de 50% dans une activité adaptée à ses limitations fonctionnelles.</w:t>
      </w:r>
    </w:p>
    <w:p>
      <w:r>
        <w:rPr>
          <w:b/>
        </w:rPr>
        <w:t>E. 10.1</w:t>
      </w:r>
    </w:p>
    <w:p>
      <w:r>
        <w:t>La recourante a contesté succinctement, dès lors qu’elle n’a pas complété son recours, l’évaluation de sa capacité de travail. À cet égard, l’intimé a retenu une capacité de travail de 50%, en suivant les avis médicaux des médecins traitants de la recourante, soit la Prof. B______ (avis du 5 mars 2021) et le Dr D______ (avis du 24 septembre 2021). La recourante n’apporte aucun élément qui permettrait de douter de cette évaluation ; elle se contente de requérir l’audition de ses médecins traitants ; or, dans la mesure où l’intimé a justement suivi l’avis de ceux-ci, la chambre de céans renoncera, par appréciation anticipée des preuves, à leur audition. Le taux d’invalidité de 25% retenu par l’intimé peut être ainsi confirmé.</w:t>
      </w:r>
    </w:p>
    <w:p>
      <w:r>
        <w:rPr>
          <w:b/>
        </w:rPr>
        <w:t>E. 10.2</w:t>
      </w:r>
    </w:p>
    <w:p>
      <w:r>
        <w:t>La recourante conteste également son statut mixte, 50% active, 50% ménagère. Il ressort du questionnaire statut du 19 mai 2021, que la recourante a indiqué avoir travaillé en 2006 et 2007 au Bar Club Sion et, dans son courrier du 14 mai 2021,</w:t>
      </w:r>
    </w:p>
    <w:p>
      <w:r>
        <w:t>A/3075/2023 - 8/9 - que cette activité était exercée à un taux de 50%. Certes, le questionnaire statut ne contient, curieusement, pas de question visant à savoir, dans le cas où l’assurée exerçait en dernier lieu une activité à temps partiel, si, en bonne santé, l’assurée exercerait aujourd’hui une activité professionnelle, alors même que cet élément est déterminant pour savoir quel statut l’assurée doit se voir reconnaitre. Néanmoins, dans le cas d’espèce, la réponse à cette question figure dans le rapport d’enquête ménagère du 21 février 2023, lequel précise que, sans atteinte à la santé, l’assurée déclare qu’elle travaillerait probablement à temps partiel pour prendre soin de sa fille et qu’elle aimerait également subvenir à ses besoins et ne pas dépendre entièrement du père de sa fille ; enfin, elle aurait aimé faire une formation d’aide-soignante. Or, vu l’âge de la fille de la recourante au jour de la décision litigieuse, soit 6 ans, le statut mixte 50% active, 50% ménagère n’est pas contestable. En revanche, contrairement à l’avis de l’OAI (note de l’OAI du 12 avril 2023), on ne saurait retenir que la recourante semble se contenter d’un taux d’activité de 50% pour subvenir à ses besoins et la question du statut de la recourante pourrait être revue au moment où la fille de celle-ci atteindra un âge où elle gagnera en autonomie, ce qui permettrait à la recourante, comme elle l’allègue, d’exercer, en bonne santé, une activité à un taux de 100%.</w:t>
      </w:r>
    </w:p>
    <w:p>
      <w:r>
        <w:rPr>
          <w:b/>
        </w:rPr>
        <w:t>E. 10.3</w:t>
      </w:r>
    </w:p>
    <w:p>
      <w:r>
        <w:t>Enfin, la recourante ne conteste pas le taux d’invalidité ménagère.</w:t>
      </w:r>
    </w:p>
    <w:p>
      <w:r>
        <w:rPr>
          <w:b/>
        </w:rPr>
        <w:t>E. 11</w:t>
      </w:r>
    </w:p>
    <w:p>
      <w:r>
        <w:t>Au vu de ce qui précède, le recours ne peut qu’être rejeté. Au vu du sort du recours, il y a lieu de condamner la recourante au paiement d'un émolument de CHF 200.- (art. 69 al. 1 bis LAI).</w:t>
      </w:r>
    </w:p>
    <w:p>
      <w:r>
        <w:t>A/3075/2023 - 9/9 -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