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ATAS/1/2017 vom 9. Januar 2017</w:t>
      </w:r>
    </w:p>
    <w:p>
      <w:r>
        <w:t>GE Cour de justice, 2017-01-09, FR</w:t>
      </w:r>
    </w:p>
    <w:p>
      <w:r>
        <w:rPr>
          <w:b/>
        </w:rPr>
        <w:t xml:space="preserve">Quelle: </w:t>
      </w:r>
      <w:r>
        <w:t>https://mcp.opencaselaw.ch/entscheid/ge_gerichte_ATAS_1_2017</w:t>
      </w:r>
    </w:p>
    <w:p>
      <w:r>
        <w:t>FR: GE_GERICHTE ATAS/1/2017 du 9 janvier 2017</w:t>
      </w:r>
    </w:p>
    <w:p>
      <w:r>
        <w:t>IT: GE_GERICHTE ATAS/1/2017 del 9 gennaio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le droit de la recourante à une rente invalidité.</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w:t>
      </w:r>
    </w:p>
    <w:p>
      <w:r>
        <w:t>A/1200/2016 - 9/20 -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7</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w:t>
      </w:r>
    </w:p>
    <w:p>
      <w:r>
        <w:t>A/1200/2016 - 10/20 -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l'intimée,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w:t>
      </w:r>
    </w:p>
    <w:p>
      <w:r>
        <w:rPr>
          <w:b/>
        </w:rPr>
        <w:t>E. 8</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w:t>
      </w:r>
    </w:p>
    <w:p>
      <w:r>
        <w:t>A/1200/2016 - 11/20 -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w:t>
      </w:r>
    </w:p>
    <w:p>
      <w:r>
        <w:rPr>
          <w:b/>
        </w:rPr>
        <w:t>E. 9</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w:t>
      </w:r>
    </w:p>
    <w:p>
      <w:r>
        <w:t>A/1200/2016 - 12/20 -</w:t>
      </w:r>
    </w:p>
    <w:p>
      <w:r>
        <w:rPr>
          <w:b/>
        </w:rPr>
        <w:t>E. 10</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w:t>
      </w:r>
    </w:p>
    <w:p>
      <w:r>
        <w:t>A/1200/2016 - 13/20 -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t>A/1200/2016 - 14/20 -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w:t>
      </w:r>
    </w:p>
    <w:p>
      <w:r>
        <w:t>A/1200/2016 - 15/20 -</w:t>
      </w:r>
    </w:p>
    <w:p>
      <w:r>
        <w:rPr>
          <w:b/>
        </w:rPr>
        <w:t>E. 13</w:t>
      </w:r>
    </w:p>
    <w:p>
      <w:r>
        <w:t>Lorsqu'il y a lieu d'appliquer la méthode mixte d'évaluation,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 consid. 4.1).</w:t>
      </w:r>
    </w:p>
    <w:p>
      <w:r>
        <w:rPr>
          <w:b/>
        </w:rPr>
        <w:t>E. 14</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15</w:t>
      </w:r>
    </w:p>
    <w:p>
      <w:r>
        <w:t>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Le revenu sans invalidité se détermine en règle générale d'après le dernier salaire que l'assuré a obtenu avant l'atteinte à la santé, en tenant compte de l'évolution des salaires jusqu'au moment du prononcé de la décision (ATF 129 V 224 consid. 4.3.1). Quant au revenu d'invalide, il doit être évalué avant tout en fonction de la situation professionnelle concrète de l'intéressé. Lorsque l'assuré n'a pas repris</w:t>
      </w:r>
    </w:p>
    <w:p>
      <w:r>
        <w:t>A/1200/2016 - 16/20 -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 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b. Le Tribunal fédéral, dans sa jurisprudence la plus récente, a considéré que dans certaines circonstances bien définies, il pouvait être tenu compte de la diminution de la capacité d'exercer une activité lucrative ou d'accomplir les travaux habituels en raison des efforts consentis dans l'autre domaine d'activité (ATF 134 V 9; voir également SVR 2006 IV n° 42 p. 151). Lorsqu'il s'agit d'examiner dans quelle mesure les efforts fournis dans l'un et l'autre domaine d'activité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(cf. ATF 130 V 97 consid. 3.2 et les références);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(ATF 134 V 9 consid. 7.3.1).</w:t>
      </w:r>
    </w:p>
    <w:p>
      <w:r>
        <w:t>A/1200/2016 - 17/20 - L'incapacité d'exercer une activité lucrative ou d'accomplir les travaux habituels résultant des efforts consentis dans l'autre domaine d'activité ne peut être prise en considération qu'à certaines conditions spéciales. Ainsi, le Tribunal fédéral a dégagé les principes suivants.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(ATF 134 V 9 consid. 7.3.2 à 7.3.7; arrêt du Tribunal fédéral 9C_632/2014 du 20 janvier 2015 consid. 4.1.2). La diminution de l'aptitude à exercer les travaux habituels, résultant des efforts accomplis lors de l'exercice de l'activité lucrative, ne saurait dépasser 15%. Si la répartition des champs d'activité est équilibrée, les efforts supplémentaires résultant du cumul d'activités lucrative et non lucrative est pris en considération dans le champ d'activité où ces efforts se font le plus sentir (cf. ATF 134 V 9; SVR 2006 IV n° 42 p. 151; arrêt du Tribunal fédéral 9C_713/2007 du 8 août 2008, consid. 4).</w:t>
      </w:r>
    </w:p>
    <w:p>
      <w:r>
        <w:rPr>
          <w:b/>
        </w:rPr>
        <w:t>E. 16</w:t>
      </w:r>
    </w:p>
    <w:p>
      <w:r>
        <w:t>En l’espèce, l’expertise de la Dresse L______ du 7 octobre 2015 n’emporte pas la conviction. Elle relate les traumatismes dus à la guerre en Somalie dont a été victime la recourante, les symptômes psychiques apparus en 2010 avec une intention suicidaire, la prise de poids de 20 kg depuis l’arrêt de travail, ainsi que la tristesse accompagnée d’un grand désarroi observés lors de l’examen clinique pour conclure, rapidement et de façon peu convaincante, que la souffrance psychiatrique</w:t>
      </w:r>
    </w:p>
    <w:p>
      <w:r>
        <w:t>A/1200/2016 - 18/20 - observée était directement mise en corrélation avec l’arrêt de l’activité professionnelle, de sorte que la reprise d’une vie active était indiquée. En outre, la Dresse J______, psychiatre-traitante, a rendu deux avis médicaux les 25 août 2014 et 11 avril 2016 mentionnant, contrairement à l’avis de la Dresse L______, un diagnostic de syndrome dépressif réactionnel, d’intensité sévère, corrélatif aux douleurs et à la perte de l’emploi, d’un probable syndrome de stress post-traumatique et d’une possible modification durable de la personnalité en expliquant que la chute accidentelle avait réactivé une symptomatologie anciennement traumatisante. Dans ces conditions, une instruction complémentaire par le biais d’une expertise judiciaire psychiatrique est nécessaire. Celle-ci sera confiée au docteur P______, spécialiste FMH en psychiatrie et psychothérapie, rue de Q______ _______, 1206 Genève.</w:t>
      </w:r>
    </w:p>
    <w:p>
      <w:r>
        <w:t>A/1200/2016 - 19/20 - PAR CES MOTIFS, LA CHAMBRE DES ASSURANCES SOCIALES : Statuant I. Ordonne une expertise médicale. La confie au Dr P______, spécialiste FMH en psychiatrie et psychothérapie, rue de Q______ ______, 1206 Genève. Dit que la mission d’expertise sera la suivante : A. Prendre connaissance du dossier de la cause. B. Si nécessaire prendre tous renseignements auprès des médecins ayant traité Mme A______, en particulier la Dresse J______. C. Examiner Mme A______. D. Etablir un rapport détaillé et répondre aux questions suivantes : 1. Quelle est l’anamnèse détaillée du cas ? 2. Quel est le status détaillé et l’évolution du status depuis le début de l’atteinte ? 3. Quelles sont les plaintes de Mme A______ ? 4. Quelle est l’atteinte à la santé dont souffre Mme A______ d’un point de vue psychiatrique (diagnostic et date d’apparition) ? 5. Quelles sont les limitations fonctionnelles relativement à chaque diagnostic ? 6. En cas de trouble psychique : a) Quel est le degré de gravité de celui-ci ? b) Depuis quelle date est-il présent chez Mme A______ ? c) Comment a-t-il évolué ? d) Quel traitement est-il indiqué ? Mme A______ suit-elle un traitement adéquat ? e) Y a-t-il une amélioration possible à court/moyen terme ? 7. Compte tenu de vos diagnostics, Mme A______ pourrait-elle exercer une activité lucrative, en particulier depuis mars 2012 ? Si oui : a) Laquelle ? b) A quel taux ? c) Depuis quelle date ? d) Quelle est l'évolution de la capacité de travail de Mme A______ depuis mars 2012 ?</w:t>
      </w:r>
    </w:p>
    <w:p>
      <w:r>
        <w:t>A/1200/2016 - 20/20 - e) Quel est votre pronostic quant à l’exigibilité de la reprise d’une activité lucrative ? f) Si aucune activité n’est possible ou seulement dans une mesure restreinte, pour quels motifs ? Depuis quelle date ? Quelles sont les limitations fonctionnelles qui entrent en ligne de compte ? 8. a) Etes-vous d'accord avec les avis de la Dresse J______ des 25 août 2014 et 11 avril 2016 ? En particulier avec les limitations fonctionnelles constatées et l'estimation d'une capacité de travail nulle dans toute activité depuis le 9 mars 2012 ? Si non, pourquoi ? b) Etes-vous d’accord avec l’expertise de la Dresse L______ du 7 octobre 2015 ? En particulier avec l’absence de diagnostic incapacitant et l’estimation d’une capacité de travail totale ? Si non pourquoi ? 9. Des mesures de réadaptation professionnelle sont-elles envisageables ? 10. Faire toutes autres observations ou suggestions utiles. II. Réserve le sort des frais jusqu’à droit jugé au fond. La greffière</w:t>
      </w:r>
    </w:p>
    <w:p>
      <w:r>
        <w:t>Julia BARRY</w:t>
      </w:r>
    </w:p>
    <w:p>
      <w:r>
        <w:t>La Présidente</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