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ATAS/1/2010 vom 7. Januar 2010</w:t>
      </w:r>
    </w:p>
    <w:p>
      <w:r>
        <w:t>GE Cour de justice, 2010-01-07, FR</w:t>
      </w:r>
    </w:p>
    <w:p>
      <w:r>
        <w:rPr>
          <w:b/>
        </w:rPr>
        <w:t xml:space="preserve">Quelle: </w:t>
      </w:r>
      <w:r>
        <w:t>https://mcp.opencaselaw.ch/entscheid/ge_gerichte_ATAS_1_2010</w:t>
      </w:r>
    </w:p>
    <w:p>
      <w:r>
        <w:t>FR: GE_GERICHTE ATAS/1/2010 du 7 janvier 2010</w:t>
      </w:r>
    </w:p>
    <w:p>
      <w:r>
        <w:t>IT: GE_GERICHTE ATAS/1/2010 del 7 gennaio 2010</w:t>
      </w:r>
    </w:p>
    <w:p>
      <w:pPr>
        <w:pStyle w:val="Heading2"/>
      </w:pPr>
      <w:r>
        <w:t>Erwägungen</w:t>
      </w:r>
    </w:p>
    <w:p>
      <w:r>
        <w:rPr>
          <w:b/>
        </w:rPr>
        <w:t>E. 1</w:t>
      </w:r>
    </w:p>
    <w:p>
      <w:r>
        <w:t>Conformément à l'art. 56V al. 1 let. a ch. 2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Les modifications légales contenues dans la LPGA - entrée en vigueur le 1er janvier 2003 -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(5ème révision de la LAI), entrées en vigueur le 1er janvier 2008, sont régies par le même principe et sont donc applicables.</w:t>
      </w:r>
    </w:p>
    <w:p>
      <w:r>
        <w:t>A/994/2009 - 8/15 -</w:t>
      </w:r>
    </w:p>
    <w:p>
      <w:r>
        <w:rPr>
          <w:b/>
        </w:rPr>
        <w:t>E. 3</w:t>
      </w:r>
    </w:p>
    <w:p>
      <w:r>
        <w:t>Étant rappelé que le délai de recours est de 30 jours (art. 60 al. 1 LPGA) et que la décision a été reçue par le recourant le 2 mars 2009, le Tribunal de céans constate que le recours interjeté en date du 20 mars 2009 a été formé en temps utile (art. 39 al. 1 et 60 al. 2 LPGA).</w:t>
      </w:r>
    </w:p>
    <w:p>
      <w:r>
        <w:rPr>
          <w:b/>
        </w:rPr>
        <w:t>E. 4</w:t>
      </w:r>
    </w:p>
    <w:p>
      <w:r>
        <w:t>Le litige porte sur la question de savoir si l'invalidité du recourant s'est modifiée de manière à influencer son droit à la rente.</w:t>
      </w:r>
    </w:p>
    <w:p>
      <w:r>
        <w:rPr>
          <w:b/>
        </w:rPr>
        <w:t>E. 5</w:t>
      </w:r>
    </w:p>
    <w:p>
      <w:r>
        <w:t>En vertu de l’art. 28 al. 1 LAI (dans sa version dès le 1er janvier 2004), l’assuré a droit à une rente entière s’il est invalide à 70 % au moins, à un trois-quarts de rente s'il est invalide à 60 % au moins, à une demi-rente s’il est invalide à 50 % au moins, ou à un quart de rente s’il est invalide à 40 % au moins.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et ATF 113 V 275 consid. 1a; voir également ATF 112 V 372 consid. 2b et 390 consid. 1b). Il n'y a pas matière à révision lorsque les circonstances sont demeurées inchangées et que le motif de révision réside uniquement dans une nouvelle appréciation du cas (ATF 112 V 372 consid. 2b et ATF 390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w:t>
      </w:r>
    </w:p>
    <w:p>
      <w:r>
        <w:rPr>
          <w:b/>
        </w:rPr>
        <w:t>E. 6</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t>A/994/2009 - 9/15 -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rPr>
          <w:b/>
        </w:rPr>
        <w:t>E. 7</w:t>
      </w:r>
    </w:p>
    <w:p>
      <w:r>
        <w:t>Dans un premier temps, il y a lieu de déterminer le point de départ temporel pour l'examen d'une éventuelle modification du degré d'invalidité au sens de l'art. 17 LPGA dès lors qu’après avoir accordé au recourant une demi-rente d’invalidité à partir du 1er juin 2003 par décision du 3 juin 2004 confirmée sur opposition le 22 septembre 2004, l’intimé a initié une première procédure de révision de rente en mai 2006 et a confirmé le droit à une demi-rente en date du 28 août 2006. Le dossier de l’assuré ne comportait alors qu’un rapport succinct de la Dresse A__________ du 21 mai 2006 mentionnant une aggravation de l’état de santé par rapport à 2003 et des changements dans les diagnostics avec l’apparition en 2004 d’une oligoarthrite essentiellement des épaules. Force est de constater que l’OCAI n’a pas soumis ce rapport à son service médical et qu’il s’est borné à confirmer le droit à la rente tel qu’il avait été fixé initialement. Par conséquent, il convient de comparer l’état de fait prévalant au moment de la décision sur opposition du 22 septembre 2004, date de la décision initiale d'octroi d'une demi-rente d'invalidité, et celui existant au moment de la décision litigieuse du 12 février 2009.</w:t>
      </w:r>
    </w:p>
    <w:p>
      <w:r>
        <w:rPr>
          <w:b/>
        </w:rPr>
        <w:t>E. 8</w:t>
      </w:r>
    </w:p>
    <w:p>
      <w:r>
        <w:t>A l’époque de l’octroi de la rente, dans ses divers rapports des 5 mai et 3 octobre 2003 ainsi que du 1er juin 2004, la Dresse A__________ avait diagnostiqué des lombalgies chroniques sur discopathie L3-L4 et une spondylodiscite inflammatoire. Selon elle, l’assuré se plaignait de rachialgies devenues chroniques avec lombalgies à répétitions, d’irradiations dans le membre inférieur gauche, de fatigue, diarrhées et douleurs dans les deux épaules. A l’examen, elle avait constaté un syndrome vertébral chronique avec contracture de la musculature paralombaire, des douleurs à la palpation des articulations acromio-calviculaires des deux côtés avec arc douloureux à l’abduction entre 90 et 110°, une atteinte fonctionnelle bilatérale</w:t>
      </w:r>
    </w:p>
    <w:p>
      <w:r>
        <w:t>A/994/2009 - 10/15 - fluctuante des deux épaules et du rachis lombaire due à une oligoarthrite, des mouvements lents et une marche laborieuse. L’incapacité de travail était entière depuis l’été 2002 et il n’était pas possible d’exiger du recourant l’exercice d’une autre activité. Selon elle, le recourant pouvait tenir les positions assise, debout et la même position du corps pendant environ une heure, marcher moins d’un kilomètre, lever, porter ou déplacer des charges d’au maximum cinq kilos. En revanche, il ne pouvait pas s’accroupir, incliner le buste, se baisser, effectuer des mouvements des membres ou du dos occasionnels/répétitifs. Ces rapports ont été complétés par un stage professionnel effectué du 15 décembre 2003 au 18 janvier 2004 lors duquel les maîtres de réadaptation ont retenu un rendement de 60 %, à plein temps après réentraînement à l’effort dans les travaux légers à l’établi, le conditionnement léger et dans l’activité d’aide-monteur sans port de charges. Ils ont observé une baisse de rendement durant la deuxième moitié du stage s’expliquant par une plus grande complexité des activités sérielles et l’accumulation d’une certaine fatigue. Ils ont conclu que les capacités physiques du recourant étaient compatibles avec un emploi pratique et léger dans le circuit économique normal permettant d’alterner les positions. Interrogé par le Tribunal de céans, le 23 février 2006, le Dr C__________ a conseillé de restreindre le port de charges et d’éviter les positions en porte-à-faux. Il a estimé qu’une activité ne sollicitant pas les régions lombaire et dorsale était possible, mais qu’il n’était pas certain que le recourant pût travailler toute la journée au vu de l’impressionnante hernie discale. De plus, un réentraînement au travail comme proposé par le CIP était envisageable.</w:t>
      </w:r>
    </w:p>
    <w:p>
      <w:r>
        <w:rPr>
          <w:b/>
        </w:rPr>
        <w:t>E. 9</w:t>
      </w:r>
    </w:p>
    <w:p>
      <w:r>
        <w:t>Dans le cadre de la procédure de révision ayant abouti à la décision litigieuse, tant le recourant dans le questionnaire du 15 octobre 2008 que la Dresse A__________ dans son rapport du 17 novembre 2008 ont fait état d’un état de santé stationnaire au moins depuis 2007. Dans son rapport, le médecin traitant a précisé qu’il n’y avait pas de changement dans les diagnostics, que le problème rhumatologique avait une influence sur la capacité de travail, que le rachis était rapidement douloureux et que le patient pouvait rester assis au maximum deux heures, puis devait se lever et alterner continuellement les positions. Les limitations fonctionnelles touchaient essentiellement le rachis lombaire et les épaules. Le recourant n’avait pas repris de travail vu son état de santé et la récidive rapide de douleurs à l’effort ou au maintien postural. Pour sa part, dans le cadre de la demande de prestations de l’assurance-chômage, le Dr D__________ a estimé, dans son rapport du 6 octobre 2008, qu’on pouvait exiger du recourant qu’il exerçât une autre activité à raison de 50% épargnant le bas du dos et plus ou moins les épaules. Selon lui, le recourant pouvait tenir la position assise pendant une à deux heures, la position debout pendant 15 à 30 minutes, marcher sur une distance pas trop longue, lever, porter ou déplacer des charges d’au maximum cinq kilos. En revanche, il ne pouvait pas maintenir la même position du corps, s’accroupir, s’agenouiller,</w:t>
      </w:r>
    </w:p>
    <w:p>
      <w:r>
        <w:t>A/994/2009 - 11/15 - incliner le buste, se baisser, travailler en hauteur ou sur une échelle, se déplacer sur sol irrégulier ou en pente. Ces rapports ont été complétés par un stage professionnel effectué à mi-temps du 20 octobre au 17 novembre 2008 lors duquel le maître socio-professionnel a retenu un rendement de 60 % pour des activités simples avec une diminution graduelle de rendement qui atteignait 40% en fin de matinée. Il a estimé que la situation médicale s’était manifestement dégradée depuis l’évaluation faite par le CIP puisque le rendement avait notablement diminué si on le rapportait à un plein temps. Il a conclu que le recourant n’était plus en mesure de travailler dans le marché économique même à 50%. En comparant, la situation du recourant telle qu’elle se présentait jusqu’à la décision sur opposition du 22 octobre 2004 et celle existant au moment de la décision du 12 février 2009, force est de constater que tant les plaintes du recourant que les diagnostics posés sont identiques et que les limitations fonctionnelles touchent toujours les mêmes parties du corps. Contrairement à ce qu’allègue le recourant, il ressort du rapport de la Dresse A__________ du 3 octobre 2003 que les troubles de l’épaule se manifestaient déjà dans les deux membres supérieurs avant la décision initiale de rente. De plus, le médecin traitant considère toujours qu’une reprise de travail même à 50% n’est pas envisageable alors que le Dr D__________ admet qu’une activité adaptée à 50% est exigible de la part du recourant. Quant aux limitations fonctionnelles retenues par le Dr D__________, elles coïncident en grande partie avec celles admises par la Dresse A__________ en mai 2003 à l’exception du maintien de la position assise qui a passé d’une heure environ à 30 minutes et celui de la position debout qui a augmenté d’une heure environ à deux heures. En revanche, le maintien de la même position du corps qui était possible pendant une heure ne l’est plus. Toutefois, cette modification n’a pas d’incidence sur la capacité de travail exigible du recourant puisque cela signifie seulement que le recourant doit alterner les positions. En effet, la douleur vient du fait de conserver longtemps la même position et le soulagement du simple fait d'en changer, de sorte qu’on ne saurait comprendre l'exigence de pauses régulières comme la nécessité d'interrompre ses occupations à intervalles donnés, mais comme le besoin de varier les angles de pression sur la zone corporelle lésée de sorte que le fait de devoir changer de position plusieurs fois par heure ne saurait rendre illusoire la mise en valeur de la capacité de travail d’un assuré (ATF non publié 9C_749/2007 du 25 juin 2008, consid. 2.2 et ATF non publié 9C_33/2007 du 21 janvier 2008, consid. 4). En revanche, selon le maître socio-professionnel, le recourant ne serait plus en mesure d’exercer une activité dans le domaine économique, même à mi-temps au motif que le rendement a notablement diminué si on le rapporte à un plein temps. Le rapport sommaire de l’ARP n’est pas suffisamment motivé pour qu’une valeur probante lui soit reconnue. En effet, il n’explique pas pourquoi l’horaire du stage</w:t>
      </w:r>
    </w:p>
    <w:p>
      <w:r>
        <w:t>A/994/2009 - 12/15 - était de 3 heures par jour au lieu de 6 heures et en quoi le rendement de 60% sur un mi-temps impliquerait une impossibilité d’exercer une activité dans le domaine économique en rapportant ce rendement à un plein temps. Il y a lieu de relever que ce rapport n’émane que d’un seul maître socio-professionnel alors que celui du CIP avait été établi par trois maîtres de réadaptation de sorte que ses conclusions donnaient moins de prise à des éléments subjectifs. En outre, lesdits maîtres avaient également constaté une diminution de rendement lors de la deuxième moitié du stage mais ils n’en avaient pas déduit les mêmes conséquences puisqu’il l’avait attribuée à la fatigue accumulée lors de ce dernier et à la complexité des activités sérielles. De plus, le maître socio-professionnel de l’ARP conclut à une situation médicale dégradée au vu de ses constatations, alors qu’il n’est pas médecin et que le médecin traitant ne fait nullement état d’une aggravation de l’état de santé du recourant. Enfin, il n’explique pas pourquoi, la capacité de travail exigible de 50% retenue par le Dr D__________ ne serait pas exigible du recourant et il ne précise pas si ses conclusions tiennent compte de l'effort que l'on est en droit d'attendre du recourant pour atténuer le mieux possible les conséquences de son invalidité (ATF 123 V 96 consid. 4c et ATF 113 V 28 consid. 4a et les références). Or,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dans la mesure où leur connaissance spécifique de la médecine leur permet de dépasser le stade de la simple observation in situ qui comprend trop de facteurs incontrôlables (arrêt I 762/02 du 6 mai 2003, consid. 2.2) pour emporter à elle seule la conviction dans une situation médicale controversée (ATF non publié 9C_34/2008 du 7 octobre 2008, consid. 3). Le recourant n'établit pas à satisfaction de droit que ses problèmes de santé ou ses limitations fonctionnelles se sont aggravés, de sorte qu'il y a lieu de rejeter sa requête de mise en œuvre d'une expertise médicale (cf. appréciation anticipée des preuves; ATF 122 II 469 consid. 4a et 119 V 344 consid. 3c ; ATFA non publié I 654/02 du 30 juillet 2003, consid. 4.5). En définitive, au vu du peu d’évolution de la situation du recourant prévalant entre les deux décisions et de l’appréciation du Dr D__________, qui confirme dans les grandes lignes celle des maîtres de réadaptation du CIP, il faut conclure qu’il n’existe pas de modification importante de l’état de santé du recourant ou de sa capacité de gain.</w:t>
      </w:r>
    </w:p>
    <w:p>
      <w:r>
        <w:rPr>
          <w:b/>
        </w:rPr>
        <w:t>E. 10</w:t>
      </w:r>
    </w:p>
    <w:p>
      <w:r>
        <w:t>Quant à la requête d’appel en cause de l’OCE, elle doit être rejetée.</w:t>
      </w:r>
    </w:p>
    <w:p>
      <w:r>
        <w:t>A/994/2009 - 13/15 - Selon l’art. 71 de la loi cantonale sur la procédure administrative du 12 septembre 1985 (LPA; RS E 5 10), l'autorité peut ordonner, d'office ou sur requête, l'appel en cause de tiers dont la situation juridique est susceptible d'être affectée par l'issue de la procédure; la décision leur devient dans ce cas opposable.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Il vise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d’éviter des décisions ou des jugements contradictoires (ATFA non publié B 47/02 du 25 août 2003, consid 3.2.1; BOVAY, Procédure administrative, Berne 2000, p. 154-155). Dans le cas d’espèce, l’appel en cause de OCE ne se justifie pas puisque sa situation juridique n’est pas susceptible d’être affectée par l’issue de la présente procédure. En effet, contrairement à ce que soutient le recourant, assurance-invalidité et assurance-chômage n'ont pas un caractère complémentaire réciproque en ce sens que l’assuré exclu de la vie professionnelle pourrait invoquer soit l’invalidité, soit le chômage. Il n'est par conséquent pas d'emblée exclu qu'une même atteinte à la santé puisse conduire à la reconnaissance d'une pleine capacité de travail et à la négation de l'aptitude au placement (ATF non publié 9C_228/2007 du 24 septembre 2007 consid. 3; DTA 1999 n° 19 p. 104 consid. 2 et 3, 1998 n° 5 p. 28 consid. 3b/bb p. 31 ; RCC 1984 p. 361, 1983 p. 112). Selon la jurisprudence (ATF non publié C 282/05 du 3 mars 2006, consid. 2.3), l’aptitude au placement englobe avec l’expression « est disposé à » aussi la capacité de travail. Dans le sens d’une application uniforme du droit, cet élément partiel de l’aptitude au placement doit être défini conformément à l’art. 6 LPGA, en tenant également compte de l’alinéa 2 de sorte qu’il s’agit non seulement de la capacité de travail dans l’activité exercée jusqu’ici ou dans le domaine d’activité, mais également des activités de substitution. Toutefois, ces termes ne sont pas identiques ce qui ressort déjà de l’utilisation de termes différents (« aptitude au placement »-« capacité de travail »). En outre, les organes de l’assurance-invalidité ne peuvent pas prendre en considération des motifs étrangers à l’invalidité (formation ou connaissances linguistiques insuffisantes) dans le cadre de l’incapacité de travail et doivent examiner ce qui est hypothétiquement exigible de la part de l’assuré compte tenu de son état de santé. Dans le cadre de l’assurance-chômage, certains points de vue étrangers à l’invalidité doivent être pris en considération pour pouvoir déterminer le travail convenable au sens de l’art. 16 al. 2 LACI. Étant donné que les motifs étrangers à l’invalidité ne sont pas déterminants, l’assurance-invalidité pose des</w:t>
      </w:r>
    </w:p>
    <w:p>
      <w:r>
        <w:t>A/994/2009 - 14/15 - exigences moindres à un travail convenable que l’assurance-chômage. De cette façon, l’assurance-chômage tient compte d’éléments qui sont irrelevants dans l’assurance-invalidité C’est pourquoi, les deux branches d’assurance sociale examinent les conditions de la capacité de travail, respectivement de l’aptitude au placement selon leur propres besoins spécifiques même si les organes de l’assurance-chômage doivent coopérer avec ceux de l’assurance-invalidité (art. 15 al. 1 phrase 1 OACI). Il n’existe pas non plus d’effet contraignant de l’évaluation des organes de l’assurance-invalidité vis-à-vis des organes de l’assurance-chômage (DTA 1998 N° 5 p. 34 consid. 5c). Puisque l’assurance-chômage et l’assurance- invalidité ne se basent pas sur les mêmes conditions juridiques (d’une part incapacité de travail, d’autre part aptitude au placement), il peut arriver que pour la même atteinte à la santé, l’assurance-invalidité admette une pleine capacité de travail pendant que l’assurance-chômage nie l’aptitude au placement. Le fait que l’assurance-chômage et l’assurance-invalidité partent de la même notion de marché équilibré du travail n’y change rien (art. 6 LPGA et art. 15 al. 2 LACI) car cette notion théorique et abstraite sert de critère distinctif entre le domaine de prestations de l'assurance-chômage et celui de l'assurance-invalidité (DTA 2002 p. 241 consid. 3; ATFA non publié I 758/92 du 16 juillet 2003, consid. 3.3).</w:t>
      </w:r>
    </w:p>
    <w:p>
      <w:r>
        <w:rPr>
          <w:b/>
        </w:rPr>
        <w:t>E. 11</w:t>
      </w:r>
    </w:p>
    <w:p>
      <w:r>
        <w:t>Au vu de ce qui précède, le recours sera rejeté. Étant donné que depuis le 1er juillet 2006, la procédure n'est plus gratuite (art. 69 al. 1bis LAI), au vu du sort du recours, il y a lieu de condamner la recourante au paiement d'un émolument de 200 fr.</w:t>
      </w:r>
    </w:p>
    <w:p>
      <w:r>
        <w:t>A/994/2009 - 15/15 -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