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ATAS/19/2012 vom 17. Januar 2012</w:t>
      </w:r>
    </w:p>
    <w:p>
      <w:r>
        <w:t>GE Cour de justice, 2012-01-17, FR</w:t>
      </w:r>
    </w:p>
    <w:p>
      <w:r>
        <w:rPr>
          <w:b/>
        </w:rPr>
        <w:t xml:space="preserve">Quelle: </w:t>
      </w:r>
      <w:r>
        <w:t>https://mcp.opencaselaw.ch/entscheid/ge_gerichte_ATAS_19_2012</w:t>
      </w:r>
    </w:p>
    <w:p>
      <w:r>
        <w:t>FR: GE_GERICHTE ATAS/19/2012 du 17 janvier 2012</w:t>
      </w:r>
    </w:p>
    <w:p>
      <w:r>
        <w:t>IT: GE_GERICHTE ATAS/19/2012 del 17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A/2652/2011 - 8/10 -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En l'espèce, aucune affection somatique ayant une incidence sur la capacité de travail de l'assuré n'est mentionnée par ses deux médecins traitants successifs, le premier l'ayant suivi de 1998 à juillet 2010, le second depuis lors, sous réserve des douleurs neuropathiques conséquentes à l'alcoolisme mentionnées par le Dr N____________. Ainsi, les douleurs dorsales évoquées par l'assuré ne sont objectivées par aucun diagnostic et celles au foie et aux jambes sont consécutives à l'excès d'alcool selon son médecin traitant. S'agissant des affections psychiques, l'expertise du Dr M____________ peut se voir reconnaître pleine valeur probante au sens de la jurisprudence, dès lors que bien que succincte, elle contient une anamnèse complète, elle tient compte des plaintes du patient et ses conclusions, s'agissant de l'absence de gravité du trouble dépressif, sont bien motivées et fondées sur l'examen effectué, une appréciation du dossier médical mais aussi sur les déclarations de l'assuré. D'ailleurs, les médecins traitants de l'assuré mentionnent un état dépressif sans précision quant à sa gravité et l'incapacité totale de travailler attestée depuis 2003 par le Dr L____________ n'est pas précisément motivée et paraît autant due à l'alcoolisme au vu des limitations évoquées (absentéisme, incapacité à se plier à une discipline de travail, etc.) qu'à l'état dépressif. Quant au Dr N____________, il ne se prononce pas sur les conséquences du trouble dépressif et de l'alcoolisme sur la capacité de travail de l'assuré. Au demeurant, ces avis sont insuffisamment motivés pour remettre en cause les conclusions du Dr M____________, étant précisé que le tentamen évoqué par le Dr L____________ n'est pas confirmé par le rapport des HUG, l'assuré ayant consulté et ayant été hospitalisé durant 48 heures après la seconde séparation de son épouse, en raison d'idées suicidaires, qu'il n'y a jamais eu de suivi par un psychiatre depuis 2001. Il faut donc retenir que l'assuré ne souffre d'aucune affection psychique invalidante, de sorte qu'il n'est pas nécessaire de déterminer si l'alcoolisme est primaire ou secondaire, étant relevé que celui-ci a certainement des conséquences sur la capacité de travail de l'assuré, mais que rien ne démontre qu'une tentative de sevrage ait été faite ou que l'assuré ait continué à présenter des signes dépressifs</w:t>
      </w:r>
    </w:p>
    <w:p>
      <w:r>
        <w:t>A/2652/2011 - 9/10 - malgré une période d'abstinence relativement longue. Or, l'excès d'alcool est antérieur voire concomitant aux premières périodes d'incapacité de travail attestées par le centre de consultation psychiatrique de la jonction selon les faits ressortant du jugement de mesures protectrices de l'union conjugale. En l'absence d'avis médical circonstancié divergeant des conclusions de l'expertise, la Cour retient au degré de la vraisemblance prépondérante que l'assuré ne présente pas d'affection ayant des répercussions durables sur sa capacité de travail, et partant de gain, ce qui exclut l'octroi de prestations d'invalidité. La décision de refus de l'OAI est donc bien fondée.</w:t>
      </w:r>
    </w:p>
    <w:p>
      <w:r>
        <w:rPr>
          <w:b/>
        </w:rPr>
        <w:t>E. 8</w:t>
      </w:r>
    </w:p>
    <w:p>
      <w:r>
        <w:t>Le recours est rejeté. La procédure n'est pas gratuite en matière de contestation des prestations de l'assurance-invalidité, aux termes de l'art. 69 al. 1bis LAI. Partant, le recourant sera condamné à un émolument de justice de 200 fr.</w:t>
      </w:r>
    </w:p>
    <w:p>
      <w:r>
        <w:t>A/2652/2011 - 10/10 -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