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ATAS/199/2022 vom 4. März 2022</w:t>
      </w:r>
    </w:p>
    <w:p>
      <w:r>
        <w:t>GE Cour de justice, 2022-03-04, FR</w:t>
      </w:r>
    </w:p>
    <w:p>
      <w:r>
        <w:rPr>
          <w:b/>
        </w:rPr>
        <w:t xml:space="preserve">Quelle: </w:t>
      </w:r>
      <w:r>
        <w:t>https://mcp.opencaselaw.ch/entscheid/ge_gerichte_ATAS_199_2022</w:t>
      </w:r>
    </w:p>
    <w:p>
      <w:r>
        <w:t>FR: GE_GERICHTE ATAS/199/2022 du 4 mars 2022</w:t>
      </w:r>
    </w:p>
    <w:p>
      <w:r>
        <w:t>IT: GE_GERICHTE ATAS/199/2022 del 4 marzo 2022</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1.2</w:t>
      </w:r>
    </w:p>
    <w:p>
      <w:r>
        <w:t>Sauf disposition contraire de la loi, pour les actions dirigées contre les personnes morales, le for est celui de leur siège (art. 10 al. 1 let. b CPC), étant précisé que l’art. 17 al. 1 CPC consacre la possibilité d’une élection de for écrite. En l’occurrence, l’art. F1 des conditions générales d’assurances (CGA), assurance d’une indemnité journalière en cas de maladie, prévoit que le preneur d’assurance ou les ayants droits peuvent intenter une action contre la défenderesse au lieu de leur domicile en Suisse. Le demandeur ayant son domicile à Genève, la chambre de céans est compétente à raison du lieu pour connaître de la présente demande.</w:t>
      </w:r>
    </w:p>
    <w:p>
      <w:r>
        <w:rPr>
          <w:b/>
        </w:rPr>
        <w:t>E. 1.3</w:t>
      </w:r>
    </w:p>
    <w:p>
      <w:r>
        <w:t>Selon l'art. 59 CPC, le tribunal n'entre en matière que sur les demandes qui satisfont aux conditions de recevabilité de l'action. Ces conditions sont examinées d'office (art. 60 CPC). La liste des conditions de recevabilité prévue à l'art. 59 al.</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t>A/2472/2020 - 8/20 -</w:t>
      </w:r>
    </w:p>
    <w:p>
      <w:r>
        <w:rPr>
          <w:b/>
        </w:rPr>
        <w:t>E. 3.1</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3.2</w:t>
      </w:r>
    </w:p>
    <w:p>
      <w:r>
        <w:t>En vertu de l'art. 8 CC, chaque partie doit, si la loi ne prescrit le contraire, prouver les faits qu'elle allègue pour en déduire son droit. En conséquence, la partie qui fait valoir un droit doit prouver les faits fondant ce dernier, tandis que le</w:t>
      </w:r>
    </w:p>
    <w:p>
      <w:r>
        <w:t>A/2472/2020 - 9/20 -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 litige porte sur le point de savoir si le demandeur peut bénéficier d’indemnités journalières au-delà du 31 juillet 2019. Ainsi, les modifications de la</w:t>
      </w:r>
    </w:p>
    <w:p>
      <w:r>
        <w:t>A/2472/2020 - 10/20 - LCA du 19 juin 2020, entrées en vigueur le 1er janvier 2022 (RO 2020 4969 ; FF 2017 4767), en particulier de les art. 9 et 45 LCA, ne sont pas applicables au présent litige.</w:t>
      </w:r>
    </w:p>
    <w:p>
      <w:r>
        <w:rPr>
          <w:b/>
        </w:rPr>
        <w:t>E. 5.1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5C_253/2000 du 6 mars 2001 consid. 4a).</w:t>
      </w:r>
    </w:p>
    <w:p>
      <w:r>
        <w:rPr>
          <w:b/>
        </w:rPr>
        <w:t>E. 5.2</w:t>
      </w:r>
    </w:p>
    <w:p>
      <w:r>
        <w:t>En l'occurrence, l'art. A4 ch. 1 CGA définit la maladie comme toute atteinte à la santé physique, mentale ou psychique qui n’est pas due à un accident et qui exige un examen ou un traitement médical et provoque une incapacité de travail. Est réputée incapacité de travail toute perte, totale ou partielle, de l’aptitude de l’assuré à accomplir dans sa profession ou son domaine d’activité le travail qui peut raisonnablement être exigé de lui, si cette perte résulte d’une maladie. En cas d’incapacité de travail de longue durée, l’activité qui peut être exigée de lui peut aussi relever d’une autre profession ou d’un autre domaine d’activité (ch. 2). Le contrat d'assurance collective maladie perte de salaire prévoit le versement d'une indemnité journalière, en cas de maladie, de 80% du salaire maximal assuré de CHF 300'000.-, payable dès le 91ème jour durant 730 jours. Dans le cas particulier, la défenderesse a servi au demandeur des indemnités journalières sur la base de la déclaration de maladie de son employeur du 4 avril 2019. La défenderesse a cependant mis un terme à ses prestations à compter du 1er août 2019, au motif que l’activité exercée auprès du preneur d’assurance dès le 30 avril 2018 ne respectait pas les limitations fonctionnelles fixées par l’assurance-invalidité dès 2007. La question se pose donc de savoir si la défenderesse était fondée à refuser le droit aux prestations pour ce motif.</w:t>
      </w:r>
    </w:p>
    <w:p>
      <w:r>
        <w:rPr>
          <w:b/>
        </w:rPr>
        <w:t>E. 6</w:t>
      </w:r>
    </w:p>
    <w:p>
      <w:r>
        <w:t>Devant la chambre, la défenderesse se prévaut de l’art. D2 ch. 3 des CGA pour nier au demandeur le droit à des prestations.</w:t>
      </w:r>
    </w:p>
    <w:p>
      <w:r>
        <w:rPr>
          <w:b/>
        </w:rPr>
        <w:t>E. 6.1</w:t>
      </w:r>
    </w:p>
    <w:p>
      <w:r>
        <w:t>Selon l’art. 14 al. 2 LCA, si le preneur d’assurance ou l’ayant droit a causé le sinistre par une faute grave, l’assureur est autorisé à réduire sa prestation dans la mesure répondant au degré de la faute. Selon l’art. B2 ch. 2 des CGA, B______ renonce toutefois à la possibilité de réduire ses prestations en cas de faute grave.</w:t>
      </w:r>
    </w:p>
    <w:p>
      <w:r>
        <w:t>A/2472/2020 - 11/20 -</w:t>
      </w:r>
    </w:p>
    <w:p>
      <w:r>
        <w:rPr>
          <w:b/>
        </w:rPr>
        <w:t>E. 6.2</w:t>
      </w:r>
    </w:p>
    <w:p>
      <w:r>
        <w:t>Selon l'art. 45 LCA, dans sa teneur en vigueur jusqu’au 31 décembre 2021, lorsqu'une sanction a été stipulée pour le cas où le preneur d'assurance ou l'ayant droit violerait l'une de ses obligations, cette sanction n'est pas encourue s'il résulte des circonstances que la faute n'est pas imputable au preneur ou à l'ayant droit. D'après la jurisprudence, il n'y a pas de violation fautive, au sens de l'art. 45 LCA, si des causes objectives, ou du moins non imputables à l'assuré - telles que la maladie, l'impossibilité de produire une preuve, le comportement de l'assureur, de son agent ou de services de l'administration -, ont empêché l'assuré de respecter ses obligations (cf. ATF 115 II 88 consid. 4 p. 91 ; ATF 88 II 556 consid. 9 p. 569 ; arrêts du Tribunal fédéral 4A_562/2016 du 26 avril 2017 consid. 3.2 ; 5C_55/2005 du 6 juin 2005 consid. 3.1). Selon l’art. D2 ch. 3 des CGA, en cas de violation fautive d’obligations de nature à influencer la constatation ou l’étendue des conséquences de la maladie, B______ peut réduire ses prestations. Toutefois, aucune réduction n’est opérée s’il est prouvé que la violation des dispositions contractuelles n’a pu influencer sur la constatation ou l’étendue des conséquences de la maladie. Selon le ch. 4, en cas de violations répétées d’obligations, B______ peut refuser entièrement de servir ses prestations, après avoir averti l’assuré au préalable par écrit et après l’expiration du délai qu’elle a éventuellement fixé. Les obligations en cas de maladie sont énumérées à l’art. D2 ch. 1 des CGA, lequel prévoit qu’en cas de maladie susceptible d’entraîner le paiement de prestations, l’assuré devra recevoir les soins médicaux appropriés le plus rapidement possible et observer les prescriptions du médecin. Tout assuré est tenu de se soumettre aussi à court terme à l’examen ou à l’expertise des médecins mandatés par B______. Le preneur d’assurance ou l’ayant droit est tenu d’en informer B______ dans les 30 jours qui suivent la survenance de l’incapacité de travail, mais au plus tard cinq jours après l’expiration du délai d’attente convenu.</w:t>
      </w:r>
    </w:p>
    <w:p>
      <w:r>
        <w:rPr>
          <w:b/>
        </w:rPr>
        <w:t>E. 6.3</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5C_208/2006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5C_134/2002 du 17 septembre 2002</w:t>
      </w:r>
    </w:p>
    <w:p>
      <w:r>
        <w:t>A/2472/2020 - 12/20 - consid. 3.1). On s'en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5C_44/2004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w:t>
      </w:r>
    </w:p>
    <w:p>
      <w:r>
        <w:rPr>
          <w:b/>
        </w:rPr>
        <w:t>E. 6.4</w:t>
      </w:r>
    </w:p>
    <w:p>
      <w:r>
        <w:t>En l’occurrence, on déduit de l’art. D2 ch. 1 et 3 des CGA que la défenderesse peut réduire ses prestations en cas de violation fautive des obligations énumérées à l’art. D2 ch. 1 des CGA. Or, il ne ressort pas du dossier, et la défenderesse ne le prétend pas, que le demandeur aurait violé les obligations de recevoir des soins médicaux ou de se soumettre à court terme à un examen médical. On pourrait, tout au plus, se demander si, en acceptant d’exercer une activité de chauffeur de personnes à mobilité réduite, le demandeur a manqué à son obligation d’observer les prescriptions du médecin au sens de l’art. D2 ch. 1 1ère phrase. Il n’est en effet pas contesté qu’en 2007, le médecin du SMR avait fixé les limitations fonctionnelles suivantes : pas de port de charge de plus de 10 kg, déplacement à pied limité à 50 mètres à l’intérieur, position statique debout prolongé. Les parties ne remettent pas non plus en cause le fait que ces limitations restaient valables en 2019 (cf. réponses du Dr E______ aux questions de la défenderesse du 5 décembre 2019). On pourrait ainsi se demander si l’activité de chauffeur pour personnes à mobilité réduite nécessite des efforts physiques dépassant les limitations fonctionnelles décrites par le SMR. Or, outre qu’il est douteux que des limitations fonctionnelles retenues par l’assurance-invalidité plus dix ans avant l’entrée de l’assuré dans l’entreprise puissent être considérées comme des</w:t>
      </w:r>
    </w:p>
    <w:p>
      <w:r>
        <w:t>A/2472/2020 - 13/20 - « prescriptions du médecin » au sens de l’art. D2 des CGA - ce qui n’apparaît pas compatible avec l’obligation, ancrée à l’art. D2 ch. 4 des CGA, d’avertir préalablement l’assuré avant un refus de prestations et de lui accorder un délai pour se conformer aux prescriptions du médecin -, il n’apparait pas, au vu du dossier, que le demandeur ait outrepassé ses limitations fonctionnelles dans le cadre de son activité. Il ressort en effet du questionnaire rempli par l’employeur que si l’activité de chauffeur pour personnes à mobilité réduite exige souvent la conduite, l’accompagnement de personnes, la marche et la position assise, elle n’implique que rarement des exigences physiques, telles que le port de charges. L’employé n’est, en outre, que « parfois » confronté à la position debout. À cela s’ajoute que l’utilisation d’un fauteuil roulant ne fait que rarement partie de l’activité (cf. questionnaire de l’employeur du 24 juillet 2019). Quoi qu’il en soit, même à considérer que le demandeur a violé ses obligations de manière fautive, seule une réduction des prestations pouvait entrer en ligne de compte (cf. art. D2 ch. 3 des CGA, à condition toutefois que la violation des dispositions contractuelles ait pu influer sur la constatation ou l’étendue de la maladie - ce qui n’apparait pas être le cas). Les CGA subordonnent en effet le refus de servir des prestations à un avertissement écrit préalable (cf. art. D2 ch. 4 des CGA). Or, il ressort du dossier qu’aucun avertissement n’a été adressé au demandeur à ce propos. Il s’ensuit que la défenderesse n’était pas fondée à refuser ses prestations en se prévalant d’une violation fautive des obligations du demandeur. La chambre de céans relèvera, au demeurant, que dans la mesure où les indemnités dues à un preneur d’assurance en vertu d’un contrat d’assurance ne constituent pas des dommages-intérêts, mais des prestations contractuelles qui sont dues en cas de réalisation du risque contre lequel le preneur d’assurance s’est prémuni en contrepartie du paiement des primes, les prestations de l’assurance ne pouvaient pas non plus être refusées sur la base de l’art. 44 al. 1 CO, relatif à la faute concomitante (cf. arrêt du Tribunal fédéral 4A_307/2008 du 27 novembre 2008 consid. 2.5.1). Enfin, c’est le lieu de rappeler que la défenderesse ne pouvait pas non plus réduire ses prestations pour faute grave, celle-ci ayant renoncé à cette possibilité (cf. art. B2 ch. 2 des CGA).</w:t>
      </w:r>
    </w:p>
    <w:p>
      <w:r>
        <w:rPr>
          <w:b/>
        </w:rPr>
        <w:t>E. 7</w:t>
      </w:r>
    </w:p>
    <w:p>
      <w:r>
        <w:t>Dans ses écritures devant la chambre de céans, la défenderesse soutient que le sinistre était déjà survenu avant l’entrée du demandeur dans l’entreprise, de sorte qu’il n’était pas possible de l’assurer.</w:t>
      </w:r>
    </w:p>
    <w:p>
      <w:r>
        <w:rPr>
          <w:b/>
        </w:rPr>
        <w:t>E. 7.1</w:t>
      </w:r>
    </w:p>
    <w:p>
      <w:r>
        <w:t>En vertu de l'art. 9 LCA, dans sa version en vigueur jusqu’au 31 décembre 2021, le contrat est nul si, au moment où il a été conclu, le risque avait déjà disparu ou si le sinistre était déjà survenu. Selon la jurisprudence, ce moyen ne doit pas être confondu avec la réticence ; il rend le contrat nul même si les parties ne savaient pas, au moment de la conclusion, que le sinistre était déjà réalisé (ATF 136 III 334 consid. 3 ; ATF 127 III 21 consid. 2b/aa p. 23 ; arrêt du Tribunal fédéral 5C_45/2004 du 9 juillet 2004 consid. 2.1.2). Dans le cas où un sinistre partiel est déjà survenu, il est</w:t>
      </w:r>
    </w:p>
    <w:p>
      <w:r>
        <w:t>A/2472/2020 - 14/20 - possible de s'assurer contre le risque affectant l'autre partie, si la survenance de celui-ci est aléatoire (ATF 127 III 21 consid. 2b/aa p. 24; arrêt B 101/02 du 22 août 2003 consid. 4.5). Si une maladie s'est déjà déclarée, il n'est pas possible de l'assurer, même si elle ne se manifeste plus au moment de la conclusion du contrat, lorsque des rechutes ultérieures en apparaissent comme une évolution normale (ATF 136 III 334 consid. 3 ; ATF 127 III 21 consid. 2b/aa p. 24 s.).</w:t>
      </w:r>
    </w:p>
    <w:p>
      <w:r>
        <w:rPr>
          <w:b/>
        </w:rPr>
        <w:t>E. 7.2</w:t>
      </w:r>
    </w:p>
    <w:p>
      <w:r>
        <w:t>Selon l’art. B1 des CGA, B______ sert les prestations mentionnées dans la police pour les conséquences économiques de l’incapacité de travail due à une maladie (ch. 1). Ne sont pas assurées les maladies déjà déclarées lors de l’entrée dans l’entreprise ou au début de l’assurance aussi longtemps qu’elles entraînent une incapacité de travail, à moins que B______ ne doive accorder le maintien de la couverture d’assurance en raison d’une convention de libre passage entre les assureurs (ch. 2). L’art. B5 des CGA définit les rechutes comme des maladies liées à des cas d’assurance antérieurs pour lesquels B______ ou d’autres assureurs ont versé des prestations. Elles ne sont réputées nouvelles maladies que lorsque la personne assurée a retrouvé sa pleine capacité de travail pendant une durée ininterrompue de 365 jours au minimum avant la survenance de la nouvelle incapacité de travail (ch. 1). Pour les rechutes qui surviennent après le début de la couverture d’assurance, les indemnités journalières sont dans tous les cas versées aussi longtemps que le preneur d’assurance est tenu de verser le salaire en vertu des dispositions légales et contractuelles (ch. 2). Dans sa jurisprudence, le Tribunal fédéral a eu l’occasion de préciser qu’une telle clause était fréquente dans les conditions générales. Par cette clause, l’assurance acceptait de couvrir comme nouveau cas d’assurance une nouvelle incapacité imputable à une maladie ayant déjà donné lieu à des prestations, mais en requérant une « phase de guérison » sous la forme d'une pleine capacité de travail pendant un an sans interruption (cf. arrêt du Tribunal fédéral 4A_254/2019 du 6 avril 2020 consid. 4.3 et la référence mentionnée).</w:t>
      </w:r>
    </w:p>
    <w:p>
      <w:r>
        <w:rPr>
          <w:b/>
        </w:rPr>
        <w:t>E. 7.3</w:t>
      </w:r>
    </w:p>
    <w:p>
      <w:r>
        <w:t>En l’occurrence, il ressort du rapport médical de son médecin traitant du 20 décembre 2019 (cf. rapport médical du Dr E______ du 20 décembre 2019), repris en cela par le Dr H______ (cf. rapport médical du Dr H______ du 29 janvier 2020), que le demandeur s’est trouvé dans l’incapacité de travailler à compter du 9 janvier 2019 en raison d’une pneumonie. Le médecin traitant a relevé, sans être contredit sur ce point, que l’incapacité de travail du demandeur a perduré en raison de la complexité des facteurs de maladie, à savoir psoriasis, pneumonie, asthme, état dépressif lié au décès de sa mère et de son frère, ainsi que les douleurs continues au niveau dorsal en relation avec la spondylarthrite ankylosante (cf. rapport du Dr E______ du 29 juin 2019). Selon le rapport final subséquent du SMR du 18 mai 2020, produit par la défenderesse dans le cadre de la présente procédure, le demandeur présente, depuis le 9 janvier 2019, une incapacité de travail entière dans l’activité habituelle de chauffeur de personnes à</w:t>
      </w:r>
    </w:p>
    <w:p>
      <w:r>
        <w:t>A/2472/2020 - 15/20 - mobilité réduite et une capacité de travail de 50% dans une activité adaptée dès le</w:t>
      </w:r>
    </w:p>
    <w:p>
      <w:r>
        <w:rPr>
          <w:b/>
        </w:rPr>
        <w:t>E. 9</w:t>
      </w:r>
    </w:p>
    <w:p>
      <w:r>
        <w:t>Le demandeur réclame enfin des intérêts moratoires de 5% dès le 1er février 2020.</w:t>
      </w:r>
    </w:p>
    <w:p>
      <w:r>
        <w:rPr>
          <w:b/>
        </w:rPr>
        <w:t>E. 9.1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w:t>
      </w:r>
    </w:p>
    <w:p>
      <w:r>
        <w:rPr>
          <w:b/>
        </w:rPr>
        <w:t>E. 9.2</w:t>
      </w:r>
    </w:p>
    <w:p>
      <w:r>
        <w:t>En l'espèce, les conditions générales ne prévoient aucun terme pour l'exigibilité des prestations qui y sont stipulées. Il ne ressort pas du dossier que le demandeur ait interpellé la défenderesse préalablement à sa demande en justice le</w:t>
      </w:r>
    </w:p>
    <w:p>
      <w:r>
        <w:rPr>
          <w:b/>
        </w:rPr>
        <w:t>E. 13</w:t>
      </w:r>
    </w:p>
    <w:p>
      <w:r>
        <w:t>janvier 2020 consid. 4.1 ;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 JÜRG NEF, in Basler Kommentar, Bundesgesetz über den Versicherungsvertrag, 2001, n° 15 ad art. 41 LCA).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w:t>
      </w:r>
    </w:p>
    <w:p>
      <w:r>
        <w:t>A/2472/2020 - 18/20 - Tribunal fédéral 5C_177/2005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5C_18/2006 du</w:t>
      </w:r>
    </w:p>
    <w:p>
      <w:r>
        <w:rPr>
          <w:b/>
        </w:rPr>
        <w:t>E. 18</w:t>
      </w:r>
    </w:p>
    <w:p>
      <w:r>
        <w:t>décembre 2019).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w:t>
      </w:r>
    </w:p>
    <w:p>
      <w:r>
        <w:rPr>
          <w:b/>
        </w:rPr>
        <w:t>E. 20</w:t>
      </w:r>
    </w:p>
    <w:p>
      <w:r>
        <w:t>août 2020. Or, conformément à la jurisprudence précitée, on ne saurait retenir cette date comme dies a quo de l’intérêt moratoire. En effet, par son courrier du 2 mars 2020, la défenderesse a définitivement, à tort, refusé d’allouer des prestations, de sorte qu’il faut admettre, par analogie avec l’art. 108 ch. 1 CO qu’une interpellation n’était pas nécessaire. En partant du principe que ce courrier a été reçu par le demandeur le lendemain, soit le 3 mars 2020, l’intérêt moratoire de 5% est dû dès le 3 mars 2020. 10. Il convient donc de condamner la défenderesse à verser au demandeur le montant de CHF 33'452.-, représentant les indemnités journalières pour perte de gain selon la LCA du 1er août 2019 au 31 juillet 2020, avec intérêts à 5% l’an dès le 3 mars 2020. Dans le cas où l’incapacité de travail s’est poursuivie au-delà du 31 juillet 2020, la défenderesse devra encore lui verser des indemnités journalières pendant 274 jours au maximum, sous déduction des indemnités journalières déjà versées jusqu’au 31 juillet 2019, avec intérêts à 5% dès le 3 mars 2020. Au vu de ce qui précède, la chambre de céans disposant de tous les éléments nécessaires pour statuer sur le droit du demandeur à des indemnités journalières, il est superflu d’administrer les preuves sollicitées par l’intéressé, soit l’apport du dossier de l’assurance-invalidité, l’audition de la personne qui a rédigé le questionnaire d’employeur à l’intention de l’OAI et une expertise judiciaire portant sur l’incapacité de travail et ses origines médicales.</w:t>
      </w:r>
    </w:p>
    <w:p>
      <w:r>
        <w:t>A/2472/2020 - 19/20 - 11. Le demandeur, représenté par un conseil, obtient gain de cause, de sorte qu’il a droit à des dépens. Les cantons sont compétents pour fixer le tarif des frais comprenant les dépens (art. 96 CPC en relation avec l’art. 95 al. 3 let. b CPC). À Genève, le règlement fixant le tarif des frais en matière civile du 22 décembre 2010 (RTFMC - E 1 05.10) détermine notamment le tarif des dépens, applicable aux affaires civiles contentieuses (art. 1 RTFMC). La valeur litigieuse, telle que définie par les conclusions du demandeur, s'élève à CHF 33’360.-, ce qui correspond à des dépens de CHF 5'369.60 selon l'art. 85 al. 1 RTFMC, auxquels il convient d’ajouter la TVA et les débours, de sorte que le montant total, arrondi, s’élève à CHF 5’945.- (art. 25 et 26 al. 1 de la loi d'application du code civil suisse et d’autres lois fédérales en matière civile du 11 octobre 2012 [LaCC - E 1 05] ; art. 84 et 85 RTFMC). Pour le surplus, la procédure est gratuite (art. 114 let. e CPC).</w:t>
      </w:r>
    </w:p>
    <w:p>
      <w:r>
        <w:t>* * * * *</w:t>
      </w:r>
    </w:p>
    <w:p>
      <w:r>
        <w:t>A/2472/2020 - 20/20 -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