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ATAS/199/2020 vom 9. März 2020</w:t>
      </w:r>
    </w:p>
    <w:p>
      <w:r>
        <w:t>GE Cour de justice, 2020-03-09, FR</w:t>
      </w:r>
    </w:p>
    <w:p>
      <w:r>
        <w:rPr>
          <w:b/>
        </w:rPr>
        <w:t xml:space="preserve">Quelle: </w:t>
      </w:r>
      <w:r>
        <w:t>https://mcp.opencaselaw.ch/entscheid/ge_gerichte_ATAS_199_2020</w:t>
      </w:r>
    </w:p>
    <w:p>
      <w:r>
        <w:t>FR: GE_GERICHTE ATAS/199/2020 du 9 mars 2020</w:t>
      </w:r>
    </w:p>
    <w:p>
      <w:r>
        <w:t>IT: GE_GERICHTE ATAS/199/2020 del 9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Le recours, interjeté le 23 septembre 2019 contre la décision litigieuse du 21 août 2019, a été formé en temps utile, compte tenu du report au lundi 23 septembre 2019 de l'échéance dudit délai tombée sur le samedi 21 septembre 2019 (art. 38 al. 3 LPGA). Aussi le recours, qui respecte par ailleurs la forme prévue par loi (art. 61 let. b LPGA), est-il recevable.</w:t>
      </w:r>
    </w:p>
    <w:p>
      <w:r>
        <w:rPr>
          <w:b/>
        </w:rPr>
        <w:t>E. 3</w:t>
      </w:r>
    </w:p>
    <w:p>
      <w:r>
        <w:t>Le litige porte sur le bien-fondé de la désignation du Dr G______ pour procéder à l'expertise psychiatrique du recourant.</w:t>
      </w:r>
    </w:p>
    <w:p>
      <w:r>
        <w:rPr>
          <w:b/>
        </w:rPr>
        <w:t>E. 4</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ATF 137 V 210 consid. 3.2.4.6 et 3.2.4.9). La personne assurée a le droit de se déterminer préalablement sur les questions à l'attention des experts dans le cadre de la décision de mise en œuvre de l'expertise (ATF 137 V 210 consid 3.4.2.9).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w:t>
      </w:r>
    </w:p>
    <w:p>
      <w:r>
        <w:t>A/3523/2019 - 6/10 -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Le Tribunal fédéral a rappelé que depuis l'ATF 137 V 210, il existe en principe une obligation de la part de l’assureur de s'efforcer à mettre en œuvre une expertise consensuelle avant de rendre une décision (arrêt du Tribunal fédéral 9C_908/2012 du 22 février 2013 consid. 5.1).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w:t>
      </w:r>
    </w:p>
    <w:p>
      <w:r>
        <w:rPr>
          <w:b/>
        </w:rPr>
        <w:t>E. 5</w:t>
      </w:r>
    </w:p>
    <w:p>
      <w:r>
        <w:t>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w:t>
      </w:r>
    </w:p>
    <w:p>
      <w:r>
        <w:t>A/3523/2019 - 7/10 -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En matière de récusation, il convient de distinguer entre les motifs formels et les motifs matériels. Les motifs de récusation qui sont énoncés dans la loi (cf. art. 10 de la loi fédérale sur la procédure administrative du 20 décembre 1968 [PA –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w:t>
      </w:r>
    </w:p>
    <w:p>
      <w:r>
        <w:rPr>
          <w:b/>
        </w:rPr>
        <w:t>E. 6</w:t>
      </w:r>
    </w:p>
    <w:p>
      <w:r>
        <w:t>a. En l’espèce, le recourant requiert des informations sur le nombre de mandats d'expertise confiés par l’intimé au Dr G______, ainsi que sur les honoraires en résultant. Le recourant semble ici invoquer à l’endroit du médecin un soupçon de partialité tiré d'une prétendue dépendance économique à l'égard de l'intimé. Or,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(arrêt du Tribunal fédéral 8C_146/2016 du 9 août 2016 consid. 3.2 et 4.2 et les références). Par conséquent, la chambre de céans ne donnera pas suite à la requête de renseignements présentée par le recourant sur le nombre de mandats d'expertise éventuellement confiés au Dr G______ ni sur le montant de sa rémunération, ces éléments ne constituant pas une preuve pertinente pour établir les faits relatifs à la récusation (arrêt du Tribunal fédéral 9C_366/2013 du 2 décembre 2013 consid. 5.3). b. Le recourant, en tant qu’il met en cause la crédibilité et le caractère probant des expertises du Dr G______, fondées, selon lui, en particulier non pas sur des considérations scientifiques mais assécurologiques, et argue qu’elles ont souvent été écartées par la chambre de céans, notamment dans l’ATAS/131/2015, il met en doute les compétences professionnelles de ce médecin, et invoque donc un motif de récusation d’ordre matériel pour s’opposer au choix de cet expert. Certes, à l’instar de l’intimé, même s’il s’avérait que la chambre de céans a plusieurs fois douté de la valeur probante des expertises réalisées par le Dr G______, cela ne permettrait pas d’en tirer la conclusion que ce psychiatre,</w:t>
      </w:r>
    </w:p>
    <w:p>
      <w:r>
        <w:t>A/3523/2019 - 8/10 - titulaire du diplôme de médecin et reconnu par la FMH, rendrait, dans le cas d’espèce, une expertise non probante. Cela étant, l’intimé se méprend lorsqu’il expose qu’un consensus est inutile in casu, dès lors que le motif de récusation invoqué par le recourant ne serait pas « admissible ». En effet, selon la jurisprudence, un consensus est nécessaire après que des objections « admissibles » (« ein zulässiger Einwand » en allemand), c’est-à-dire « recevables », de nature matérielle ou formelle ont été soulevées par l'assuré (cf. ATAS/1175/2018 du 6 décembre 2018 consid. 7c et les références). Ainsi, en tant que le recourant met en doute les compétences professionnelles du Dr G______ sur la base de divers arrêts rendus par la chambre de céans, il fait valoir un motif « admissible » et objectif de récusation, autrement dit « recevable » pour s’opposer à la désignation de cet expert, de sorte qu’un consensus doit être recherché (cf. ATAS/869/2016 du 25 octobre 2016 consid. 8c), étant rappelé qu’une expertise qui repose sur un accord mutuel donne des résultats plus concluants et mieux acceptés par l’assuré (ATF 137 V 210 consid. 3.4.2.6). La désignation du Dr G______, après l’annulation, à la demande du recourant, du mandat confié initialement au Dr D______, et la tentative, en vain, de mettre en place l’expertise avec la Dresse F______, dont le nom avait été cité par le recourant, ne s’oppose pas à la recherche d’un consensus présentement, puisque c’est au Dr G______ que le recourant impute une violation de ses devoirs professionnels. Enfin, dans la mesure où le recourant ne s’est pas contenté d’alléguer que le Dr G______, mandaté à titre d’expert, soit remplacé par ceux qu’il avait lui-même proposés, mais a spécifié les reproches qu’il formulait à l’égard du Dr G______, auquel cas un consensus doit être recherché, il ne s’agit pas, contrairement à ce que prétend l’intimé, d’un droit de veto dans le choix de l’expert, d’autant plus que l’administration n’est pas tenue de suivre, sans autre, les contre-propositions de l’assuré pour la désignation d'autres experts (ATF 139 V 349 consid. 5.2.1). En effet, aucune disposition légale n'octroie aux parties le droit de choisir l'expert. L'art. 44 LPGA accorde en revanche aux parties la possibilité de participer à la désignation de l'expert. Celles-là doivent notamment pouvoir prendre connaissance du nom de celui-ci et le récuser pour des raisons pertinentes (arrêt du Tribunal fédéral 9C_65/2019 du 26 juillet 2019 consid. 5 et les références). Or, en jugeant d’emblée que la recherche d’un consensus était inutile, sans essayer de parvenir à un accord avec le recourant sur le choix de l’expert, lorsque ce dernier a formulé des objections de manière motivée contre la désignation du Dr G______, l’intimé a violé les droits de participation du recourant dans la procédure de sélection de l’expert. c. En conséquence, le recours est admis et la cause renvoyée à l’intimé, à charge pour ce dernier de se prononcer sur les personnes proposées à titre d’expert par le</w:t>
      </w:r>
    </w:p>
    <w:p>
      <w:r>
        <w:t>A/3523/2019 - 9/10 - recourant ou, si celles-ci ne lui conviennent pas - motifs à l’appui -, de suggérer un ou plusieurs autres médecins susceptibles d’assumer le mandat d’expertise. Par ailleurs, au vu des différents rapports au dossier, faisant état de pathologies rhumatologiques, il appartiendra également à l’intimé d’examiner l’opportunité d’ajouter à l’expertise psychiatrique un volet rhumatologique. Si aucun consensus n’est trouvé, l’intimé rendra une nouvelle décision incidente, dans laquelle il se prononcera, entre autres, sur les motifs de récusation soulevés par le recourant et les disciplines médicales concernées par l’expertise.</w:t>
      </w:r>
    </w:p>
    <w:p>
      <w:r>
        <w:rPr>
          <w:b/>
        </w:rPr>
        <w:t>E. 7</w:t>
      </w:r>
    </w:p>
    <w:p>
      <w:r>
        <w:t>Le recourant obtenant gain de cause, une indemnité lui sera accordée à titre de participation à ses frais et dépens (art. 61 let. g LPGA; art. 89H al. 3 LPA; art. 6 du règlement sur les frais, émoluments et indemnités en procédure administrative du 30 juillet 1986 [RFPA − RS E 5 10.03]), arrêtée en l’espèce à CHF 800.-. Pour le surplus, la procédure est gratuite (art. 89H al. 1 LPA).</w:t>
      </w:r>
    </w:p>
    <w:p>
      <w:r>
        <w:t>A/3523/2019 - 10/10 -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