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ATAS/198/2025 vom 24. März 2025</w:t>
      </w:r>
    </w:p>
    <w:p>
      <w:r>
        <w:t>GE Cour de justice, 2025-03-24, FR</w:t>
      </w:r>
    </w:p>
    <w:p>
      <w:r>
        <w:rPr>
          <w:b/>
        </w:rPr>
        <w:t xml:space="preserve">Quelle: </w:t>
      </w:r>
      <w:r>
        <w:t>https://mcp.opencaselaw.ch/entscheid/ge_gerichte_ATAS_198_2025</w:t>
      </w:r>
    </w:p>
    <w:p>
      <w:r>
        <w:t>FR: GE_GERICHTE ATAS/198/2025 du 24 mars 2025</w:t>
      </w:r>
    </w:p>
    <w:p>
      <w:r>
        <w:t>IT: GE_GERICHTE ATAS/198/2025 del 24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A/3072/2024 - 9/20 -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du 8 février 2023 consid. 2.2.2).</w:t>
      </w:r>
    </w:p>
    <w:p>
      <w:r>
        <w:rPr>
          <w:b/>
        </w:rPr>
        <w:t>E. 1.3</w:t>
      </w:r>
    </w:p>
    <w:p>
      <w:r>
        <w:t>En l’occurrence, il n’est pas contesté que le droit à la rente est né antérieurement au 1er janvier 2022. Toutefois, la question litigieuse est de savoir si un motif de révision est survenu, selon l’art. 88a RAI, à compter de cette date, de sorte que les dispositions applicables seront citées dans leur nouvelle teneur. On rappellera déjà que lorsqu’un droit à la rente a pris naissance antérieurement au 1er janvier 2022, un éventuel passage au nouveau système de rentes linéaire s'effectue, pour les bénéficiaires de rente qui n’avaient pas encore 55 ans à cette date, comme c’est le cas de la recourante, conformément à la let. b des dispositions transitoires de la LAI relatives à la modification du 19 juin 2020 (ci-après : dispositions transitoires de la LAI). Pour ces assurés, l’ancien système de rente est maintenu jusqu’au moment où, lors d’une révision, le taux d’invalidité subit une modification d’au moins 5 points de pourcentage (cf. art. 17 al. 1 LPGA) et que cette modification comporte soit une augmentation du taux d’invalidité qui a pour effet une augmentation de la quotité de la rente, soit une diminution du taux d’invalidité qui a pour effet une diminution de la quotité de la rente (cf. let. b al. 1 et 2 dispositions transitoires de la LAI). Dans ce cas, la fraction de la rente est adaptée aux nouvelles dispositions et transférée dans le nouveau système de rentes linéaire. En revanche, si la modification du taux d’invalidité n’atteint pas 5 points de pourcentage, il n’y a pas révision ; le taux d’invalidité reste inchangé et l’assuré conserve son droit à la rente en l’état, à savoir soumis aux dispositions de l’ancien droit. Tel est également le cas si la modification du taux d’invalidité est supérieure ou égale à</w:t>
      </w:r>
    </w:p>
    <w:p>
      <w:r>
        <w:rPr>
          <w:b/>
        </w:rPr>
        <w:t>E. 1.4</w:t>
      </w:r>
    </w:p>
    <w:p>
      <w:r>
        <w:t>Interjeté en temps utile, le recours est recevable (art. 60 al. 1 LPGA). 2. Le litige porte sur le droit de la recourante à une rente d’invalidité supérieure à une rente de 55% d’une rente entière. 3.</w:t>
      </w:r>
    </w:p>
    <w:p>
      <w:r>
        <w:t>3.1 L’art. 17 al. 1 LPGA dispose que la rente d'invalidité est, d'office ou sur demande, révisée pour l'avenir, à savoir augmentée, réduite ou supprimée, lorsque le taux d'invalidité de l'assuré : a) subit une modification d'au moins 5 points de pourcentage, ou b) atteint 100%. 3.1.1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3.1.2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3.1.3 Un motif de révision a été retenu notamment lorsqu’une méthode différente d’évaluation de l’invalidité s’applique (arrêt du Tribunal fédéral 8C_716/2022 du</w:t>
      </w:r>
    </w:p>
    <w:p>
      <w:r>
        <w:rPr>
          <w:b/>
        </w:rPr>
        <w:t>E. 5</w:t>
      </w:r>
    </w:p>
    <w:p>
      <w:r>
        <w:t>Au vu de ce qui précède, le recours sera admis, la décision litigieuse annulée et il sera dit que la recourante a droit à une rente entière d’invalidité dès le 1er septembre 2024. La recourante obtenant gain de cause, une indemnité de CHF 3'000.- lui sera accordée à titre de participation à ses frais et dépens (art. 61 let. g LPGA ; art. 6 du règlement sur les frais, émolument et indemnités en matière administrative du 30 juillet 1986 [RFPA – E 5 10.03]).</w:t>
      </w:r>
    </w:p>
    <w:p>
      <w:r>
        <w:t>A/3072/2024 - 19/20 - Pour le surplus, au vu du sort du recours, il y a lieu de condamner l’intimé au paiement d'un émolument de CHF 200.- (art. 69 al. 1 bis LAI).</w:t>
      </w:r>
    </w:p>
    <w:p>
      <w:r>
        <w:t>A/3072/2024 - 20/20 -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