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ATAS/198/2021 vom 9. März 2021</w:t>
      </w:r>
    </w:p>
    <w:p>
      <w:r>
        <w:t>GE Cour de justice, 2021-03-09, FR</w:t>
      </w:r>
    </w:p>
    <w:p>
      <w:r>
        <w:rPr>
          <w:b/>
        </w:rPr>
        <w:t xml:space="preserve">Quelle: </w:t>
      </w:r>
      <w:r>
        <w:t>https://mcp.opencaselaw.ch/entscheid/ge_gerichte_ATAS_198_2021</w:t>
      </w:r>
    </w:p>
    <w:p>
      <w:r>
        <w:t>FR: GE_GERICHTE ATAS/198/2021 du 9 mars 2021</w:t>
      </w:r>
    </w:p>
    <w:p>
      <w:r>
        <w:t>IT: GE_GERICHTE ATAS/198/2021 del 9 marzo 2021</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w:t>
      </w:r>
    </w:p>
    <w:p>
      <w:r>
        <w:rPr>
          <w:b/>
        </w:rPr>
        <w:t>E. 2</w:t>
      </w:r>
    </w:p>
    <w:p>
      <w:r>
        <w:t>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En l’espèce, le demandeur sollicite le versement d’une rente d’invalidité fondée sur l’art. 23 al. 1 let. a LPP. Dès lors, la contestation porte sur une question spécifique au droit de la prévoyance professionnelle et relève des autorités juridictionnelles mentionnées à l’art. 73 LPP. La chambre de céans est compétente.</w:t>
      </w:r>
    </w:p>
    <w:p>
      <w:r>
        <w:rPr>
          <w:b/>
        </w:rPr>
        <w:t>E. 3</w:t>
      </w:r>
    </w:p>
    <w:p>
      <w:r>
        <w:t>L’ouverture de l’action prévue à l’art. 73 al. 1 LPP n’est soumise, comme telle, à l’observation d’aucun délai (Raymond SPIRA, Le contentieux des assurances sociales fédérales et la procédure cantonale, Recueil de jurisprudence neuchâteloise, 1984).</w:t>
      </w:r>
    </w:p>
    <w:p>
      <w:r>
        <w:t>A/1789/2020 - 7/12 - La demande respecte en outre la forme prévue à l’art. 89B de la loi sur la procédure administrative du 12 septembre 1985 (LPA - RSG E 5 10). Partant, elle est recevable.</w:t>
      </w:r>
    </w:p>
    <w:p>
      <w:r>
        <w:rPr>
          <w:b/>
        </w:rPr>
        <w:t>E. 4</w:t>
      </w:r>
    </w:p>
    <w:p>
      <w:r>
        <w:t>Le litige porte sur la question de savoir s’il existe un rapport de connexité temporelle entre l’incapacité de travail du demandeur survenue à l’époque où il était affilié auprès de la défenderesse et son invalidité, le lien de connexité matérielle n’étant pas contesté.</w:t>
      </w:r>
    </w:p>
    <w:p>
      <w:r>
        <w:rPr>
          <w:b/>
        </w:rPr>
        <w:t>E. 5</w:t>
      </w:r>
    </w:p>
    <w:p>
      <w:r>
        <w:t>Conformément à l’art. 23 let. a LPP, ont droit à des prestations d’invalidité les personnes qui sont invalides à raison de 40 % au moins au sens de l’AI, et qui étaient assurées lorsqu’est survenue l’incapacité de travail dont la cause est à l’origine de l’invalidité. L’art. 24 al. 1 let. a LPP dispose que l’assuré a droit à une rente entière s’il est invalide à raison de 70 % au moins au sens de l’AI.</w:t>
      </w:r>
    </w:p>
    <w:p>
      <w:r>
        <w:rPr>
          <w:b/>
        </w:rPr>
        <w:t>E. 6</w:t>
      </w:r>
    </w:p>
    <w:p>
      <w:r>
        <w:t>Comme cela ressort du texte de l’art. 23 LPP, les prestations sont dues par l’institution de prévoyance à laquelle l’intéressé est ou était affilié au moment de la survenance de l’événement assuré. Dans la prévoyance obligatoire, ce moment ne coïncide pas avec la naissance du droit à la rente de l’assurance-invalidité selon l’art. 28 al. 1 let. b de la loi fédérale sur l’assurance-invalidité du 19 juin 1959 (LAI - RS 831.20), mais correspond à la survenance de l’incapacité de travail dont la cause est à l’origine de l’invalidité ; les mêmes principes sont applicables en matière de prévoyance plus étendue, à tout le moins en l’absence de dispositions réglementaires ou statutaires contraires.</w:t>
      </w:r>
    </w:p>
    <w:p>
      <w:r>
        <w:rPr>
          <w:b/>
        </w:rPr>
        <w:t>E. 7</w:t>
      </w:r>
    </w:p>
    <w:p>
      <w:r>
        <w:t>Selon la jurisprudence,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ATF 118 V 45 consid. 5).</w:t>
      </w:r>
    </w:p>
    <w:p>
      <w:r>
        <w:rPr>
          <w:b/>
        </w:rPr>
        <w:t>E. 8</w:t>
      </w:r>
    </w:p>
    <w:p>
      <w:r>
        <w:t>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w:t>
      </w:r>
    </w:p>
    <w:p>
      <w:r>
        <w:rPr>
          <w:b/>
        </w:rPr>
        <w:t>E. 9</w:t>
      </w:r>
    </w:p>
    <w:p>
      <w:r>
        <w:t>La relation de connexité temporelle entre l’incapacité de travail et l’invalidité exigée par la jurisprudence pour fonder l’obligation de prester d’une institution de prévoyance à laquelle était affilié l’intéressé (ATF 130 V 270 consid. 4.1 p. 275 et</w:t>
      </w:r>
    </w:p>
    <w:p>
      <w:r>
        <w:t>A/1789/2020 - 8/12 - les arrêts cités)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Pour la survenance de l’incapacité de travail au sens de l’art. 23 let. a LPP, c’est la diminution de la capacité fonctionnelle de rendement dans la profession exercée jusque-là ou dans le champ des activités habituelles qui est déterminante (ATF 134 V 20 consid. 3.2.2 p. 23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(ATF 134 V 20 consid. 5.3 p. 27 ; arrêt 9C_98/2013 du 4 juillet 2013 consid. 2.2, in SVR 2014 BVG n° 1 p. 2 et les références citées).</w:t>
      </w:r>
    </w:p>
    <w:p>
      <w:r>
        <w:rPr>
          <w:b/>
        </w:rPr>
        <w:t>E. 10</w:t>
      </w:r>
    </w:p>
    <w:p>
      <w:r>
        <w:t>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(arrêts du Tribunal fédéral des assurances B 100/02 du 26 mai 2003 consid. 4.1 ; B 18/06 du 18 octobre 2006 consid. 4.2.1 in fine et les références). On ne peut cependant accorder la même valeur à ces périodes qu’à celles pendant lesquelles l’intéressé a effectivement exercé une activité lucrative (arrêt du Tribunal fédéral des assurances B 23/01 du 21 novembre 2002 consid. 3.3). En ce qui concerne la durée de la capacité de travail interrompant le rapport de connexité temporelle, on peut s’inspirer de la règle de l’art. 88a al. 1 RAI comme principe directeur (« Richtschnur »). Conformément à cette disposition, il y a lieu de prendre en compte une amélioration de la capacité de gain ayant une influence sur le droit aux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d’ordre social de l’employeur et qu’une réadaptation durable apparaissait peu probable (ATF 134 V 20 consid. 3.2.1 p. 22 s. et les références ; 123 V 262 consid. 1c</w:t>
      </w:r>
    </w:p>
    <w:p>
      <w:r>
        <w:t>A/1789/2020 - 9/12 - p. 264 ; 120 V 112 consid. 2c/aa p. 117 ; arrêt 9C_335/2008 du 30 septembre 2008 consid. 3.2).</w:t>
      </w:r>
    </w:p>
    <w:p>
      <w:r>
        <w:rPr>
          <w:b/>
        </w:rPr>
        <w:t>E. 11</w:t>
      </w:r>
    </w:p>
    <w:p>
      <w:r>
        <w:t>Ainsi que cela ressort des art. 23, 24 al. 1 et 26 al. 1 LPP,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 elle est donc de nature à régir aussi bien le principe que le montant ou la durée de l'obligation de prester de l'institution de prévoyance et, partant, à la toucher directement dans ses intérêts de droit et de fait (arrêt du Tribunal fédéral 9C_620/2012 du</w:t>
      </w:r>
    </w:p>
    <w:p>
      <w:r>
        <w:rPr>
          <w:b/>
        </w:rPr>
        <w:t>E. 16</w:t>
      </w:r>
    </w:p>
    <w:p>
      <w:r>
        <w:t>S’agissant des conclusions, la chambre de céans condamnera la caisse défenderesse à verser des rentes à l’assuré et à son enfant dès le 1er août 2018, celle-ci étant compétente pour verser ces prestations d’invalidité.</w:t>
      </w:r>
    </w:p>
    <w:p>
      <w:r>
        <w:t>A/1789/2020 - 11/12 - Cela étant constaté, il convient d’inviter la défenderesse à fixer le montant des prestations dues au demandeur (invalidité complète ; 55 % du salaire annuel assuré ; rente d’enfant). Il lui appartiendra de tenir compte dans le cadre de ses calculs des prestations de tiers versées dans l’intervalle ou au titre de l’art. 26 al. 4 LPP.</w:t>
      </w:r>
    </w:p>
    <w:p>
      <w:r>
        <w:rPr>
          <w:b/>
        </w:rPr>
        <w:t>E. 17</w:t>
      </w:r>
    </w:p>
    <w:p>
      <w:r>
        <w:t>Dans ses conclusions, le demandeur requiert en outre l’octroi d’intérêts moratoires à 5 % dès chaque échéance de rentes mensuelles. Selon la jurisprudence, l’obligation de verser des intérêts moratoires sur des rentes d’invalidité échues existe non seulement dans le domaine de la prévoyance obligatoire mais aussi dans le domaine du surobligatoire. Dans les deux hypothèses, s’appliquent les règles des articles 102 ss de la loi fédérale du 30 mars 1911 complétant le Code civil suisse (Livre cinquième: Droit des obligations) (CO ; RS 220), à défaut de disposition réglementaire. La disposition de l’art. 26 al. 2 LPGA n’est pas applicable en matière de prévoyance professionnelle. Est déterminant, selon le Tribunal fédéral, en particulier l’art. 105 al. 1 CO. Selon cette disposition, le débiteur en demeure pour le paiement notamment « d'arrérages » ne doit l’intérêt moratoire qu’à partir du jour de la poursuite ou de la demande en justice. La ratio legis de cette disposition, laquelle déroge à la règle générale de l’art. 102 al. 1 CO, est que le créancier, selon l’expérience générale, n’investit pas les rentes en cause pour en tirer des revenus, mais les utilise aux fins d’assurer son entretien (arrêt du Tribunal fédéral B 136/06 du 9 juillet 2007 consid. 6 non publié in ATF 133 V 408 ; ATF 137 V 373 consid. 6.6 et 119 V 131 consid. 4c). En l’espèce, les dispositions réglementaires, soit dans le feuillet annexé au plan de prévoyance, prévoient un intérêt de 2 %, de sorte que le taux de 5 % ne trouve pas application. Par conséquent, un intérêt de 2 % l’an est dû et doit être versé au plus tôt à compter du dépôt de l’action en justice, soit dès le 22 juin 2020.</w:t>
      </w:r>
    </w:p>
    <w:p>
      <w:r>
        <w:rPr>
          <w:b/>
        </w:rPr>
        <w:t>E. 18</w:t>
      </w:r>
    </w:p>
    <w:p>
      <w:r>
        <w:t>Les prestations versées par la fondation institution supplétive LPP doivent être considérées comme des prestations préalables au sens de l’art. 26 al. 4 LPP, de sorte que la caisse défenderesse sera condamnée à prélever sur les montants des rentes à verser au demandeur les prestations préalables versées par ladite fondation à qui elles reviennent.</w:t>
      </w:r>
    </w:p>
    <w:p>
      <w:r>
        <w:rPr>
          <w:b/>
        </w:rPr>
        <w:t>E. 19</w:t>
      </w:r>
    </w:p>
    <w:p>
      <w:r>
        <w:t>Le demandeur qui obtient gain de cause a droit à des dépens, lesquels seront fixés à CHF 1'500.-, et mis à la charge de la défenderesse.</w:t>
      </w:r>
    </w:p>
    <w:p>
      <w:r>
        <w:rPr>
          <w:b/>
        </w:rPr>
        <w:t>E. 20</w:t>
      </w:r>
    </w:p>
    <w:p>
      <w:r>
        <w:t>Pour le surplus, la procédure est gratuite (art. 73 al. 2 LPP et art. 89H al. 1 LPA). * * * * * *</w:t>
      </w:r>
    </w:p>
    <w:p>
      <w:r>
        <w:t>A/1789/2020 - 12/12 -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