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ATAS/197/2020 vom 9. März 2020</w:t>
      </w:r>
    </w:p>
    <w:p>
      <w:r>
        <w:t>GE Cour de justice, 2020-03-09, FR</w:t>
      </w:r>
    </w:p>
    <w:p>
      <w:r>
        <w:rPr>
          <w:b/>
        </w:rPr>
        <w:t xml:space="preserve">Quelle: </w:t>
      </w:r>
      <w:r>
        <w:t>https://mcp.opencaselaw.ch/entscheid/ge_gerichte_ATAS_197_2020</w:t>
      </w:r>
    </w:p>
    <w:p>
      <w:r>
        <w:t>FR: GE_GERICHTE ATAS/197/2020 du 9 mars 2020</w:t>
      </w:r>
    </w:p>
    <w:p>
      <w:r>
        <w:t>IT: GE_GERICHTE ATAS/197/2020 del 9 marzo 2020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A/2050/2019 ATAS/197/2020 COUR DE JUSTICE Chambre des assurances sociales Arrêt du 9 mars 2020 10ème Chambre</w:t>
      </w:r>
    </w:p>
    <w:p>
      <w:r>
        <w:t>En la cause Madame A______, domiciliée à GENÈVE, comparant avec élection de domicile en l'étude de Maître JORDAN Virginie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A/2050/2019 - 2/2 - Vu la décision de l'Office de l’assurance-invalidité du canton de Genève (ci-après : l'OAI ou l'intimé) du 29 avril 2019, rejetant la demande de prestations formée le 7 mars 2018 par Madame A______ (ci-après : l'assurée ou la recourante), Vu le recours de l'assurée du 27 mai 2019 exposant qu'elle estimait désormais que les conditions d'octroi de prestations de l'assurance-invalidité étaient réunies : une nouvelle I.R.M pratiquée le 29 avril 2019 confirmant une récidive d'endométriose et, la recourante indiquant devoir revoir le Dr B______ le 11 juin 2019 ; Vu la réponse de l'intimé du 24 juin 2019 concluant au rejet du recours ; Vu les échanges de correspondance entre la recourante et la chambre de céans ; Vu le courrier du 3 février 2020 par lequel un conseil se constituait pour la défense de la recourante ; Vu les délais successifs impartis à la recourante ; Vu les pièces du dossier ; Vu enfin le courrier du conseil de la recourante du 25 février 2020 déclarant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