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ATAS/197/2018 vom 1. März 2018</w:t>
      </w:r>
    </w:p>
    <w:p>
      <w:r>
        <w:t>GE Cour de justice, 2018-03-01, FR</w:t>
      </w:r>
    </w:p>
    <w:p>
      <w:r>
        <w:rPr>
          <w:b/>
        </w:rPr>
        <w:t xml:space="preserve">Quelle: </w:t>
      </w:r>
      <w:r>
        <w:t>https://mcp.opencaselaw.ch/entscheid/ge_gerichte_ATAS_197_2018</w:t>
      </w:r>
    </w:p>
    <w:p>
      <w:r>
        <w:t>FR: GE_GERICHTE ATAS/197/2018 du 1 mars 2018</w:t>
      </w:r>
    </w:p>
    <w:p>
      <w:r>
        <w:t>IT: GE_GERICHTE ATAS/197/2018 del 1 marzo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A/2239/2016 - 8/18 -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les maladies professionnelles sont survenues avant cette date, le droit de la recourante aux prestations d'assurance est soumis à l'ancien droit (cf. dispositions transitoires relatives à la modification du 25 septembre 2015 ; arrêt du Tribunal fédéral 8C_662/2016 du 23 mai 2017 consid. 2.2). Les dispositions légales seront ainsi citées ci-après dans leur teneur en vigueur jusqu'au 31 décembre 2016.</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d’un taux supérieur à 29% et à une IPAI.</w:t>
      </w:r>
    </w:p>
    <w:p>
      <w:r>
        <w:rPr>
          <w:b/>
        </w:rPr>
        <w:t>E. 6</w:t>
      </w:r>
    </w:p>
    <w:p>
      <w:r>
        <w:t>a. Aux termes de l'art. 6 al. 1 LAA, l'assureur-accidents verse des prestations à l'assuré en cas d'accident professionnel, d'accident non professionnel et de maladie professionnelle. L’assureur accidents ne répond des atteintes à la santé que lorsqu’elles sont en relation de causalité non seulement naturelle mais encore adéquate avec l’événement assuré (ATF 119 V 335). b. Selon l'art. 18 al. 1er LAA, si l’assuré est invalide (art. 8 LPGA)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c. Est réputée invalidité, l'incapacité de gain totale ou partielle présumée permanente ou de longue durée, résultant d'une infirmité congénitale, d'une maladie ou d'un accident (art. 8 al.1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A/2239/2016 - 9/18 -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A/2239/2016 - 10/18 - 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w:t>
      </w:r>
    </w:p>
    <w:p>
      <w:r>
        <w:t>A/2239/2016 - 11/18 - Plädoyer 2009/1 p. 70 ; arrêt du Tribunal fédéral des assurances I 35/03 du 24 octobre 2003 consid. 4.3 et les références, in Plädoyer 2004/3 p. 64 ; arrêt du Tribunal fédéral 9C_512/2013 du 16 janvier 2014 consid. 5.2.1).</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119 V 470 consid. 2b, ATF 116 V 249 consid. 1b et les arrêts cités). L'uniformité de la notion d'invalidité, qui doit conduire à fixer pour une même atteinte à la santé un même taux d'invalidité, règle la coordination de l'évaluation de l'invalidité en droit des assurances sociales (ATF 126 V 293 consid. 2d ; RAMA 2001 no U 410 p. 73, 2000 no U 406 p. 402). Des divergences ne sont toutefois pas à exclure d'emblée. En effet, les divers assureurs sociaux demeurent tenus de procéder chacun de manière indépendante à l'évaluation de l'invalidité dans chaque cas et ne peuvent se borner à reprendre sans autre examen le degré d'invalidité fixé par un autre assureur. Ils ne peuvent toutefois pas ignorer purement et simplement l'évaluation de l'invalidité à laquelle a procédé un autre assureur social dans une décision entrée en force (arrêt cité, p. 293 consid. 2d). Ils doivent s'en écarter lorsqu'elle n'est pas du tout convaincante ou entachée d'inobjectivité, si elle repose sur une erreur de droit ou une appréciation insoutenable, ou encore se fonde sur des mesures d'instruction sommaires et superficielles (arrêt cité, p. 292 consid. 2b et p. 294 consid. 2d; RAMA 2000 no U 402 p. 390, no U 406 p. 402). Une évaluation de l'invalidité par les organes de l'assurance-invalidité n'a pas de force contraignante pour l'assureur-accidents (ATF 131 V 362 consid. 2.3).</w:t>
      </w:r>
    </w:p>
    <w:p>
      <w:r>
        <w:rPr>
          <w:b/>
        </w:rPr>
        <w:t>E. 11</w:t>
      </w:r>
    </w:p>
    <w:p>
      <w:r>
        <w:t>En l'occurrence, l'intimée estime que le degré d’invalidité imputable aux maladies professionnelles dont souffre la recourante s’établit à 29%, alors que l’intéressée l’évalue à 100%. Il est établi que la recourante souffre de plusieurs maladies professionnelles dont les conséquences doivent être prises en charge par l’intimée, soit un syndrome du tunnel carpien gauche, une épicondylite latérale bilatérale, une tendinite de De Quervain et des cervicalgies sur discopathie protrusive latéralisée du côté droit en</w:t>
      </w:r>
    </w:p>
    <w:p>
      <w:r>
        <w:t>A/2239/2016 - 12/18 - C5-C6 et inversion de la courbure physiologique en C4-C5 (ATAS/665/2013 du 25 juin 2013 consid. 8.5). Il n’est par ailleurs pas contesté par les parties, ni contestable au vu des pièces versées au dossier, qu’en raison de ces atteintes à la santé, la recourante est dans l’incapacité totale d’exercer son activité habituelle. En revanche, l’intimée considère qu’elle pourrait exercer à plein temps et sans diminution de rendement une activité adaptée, vu le rapport du CEMed, dont les conclusions ont été confirmées par le Dr J______. La recourante le conteste. Dans leur rapport du 8 décembre 2011, le Dr H______ et la Dresse I______, médecins auprès du CEMed, ont diagnostiqué, avec répercussion sur la capacité de travail : des épicondalgies chroniques bilatérales, un status après opération d'une épicondylite latérale droite et une probable tendinopathie chronique de l'épaule droite. Les experts ont indiqué qu'il n'y avait pas eu d'évolution significative depuis le 23 mars 2007, de sorte que les limitations fonctionnelles retenues par la Dresse G______ pouvaient être confirmées : pas de mouvements répétitifs des coudes ou des poignets, pas d'activité des mains exigeant de la force, pas de port de charges supérieures à 5 kg, pas de travail en porte-à-faux, pas de longues stations assise ou debout, pas de maintien des avant-bras sans appui, ni de travail en hauteur. Les experts ont confirmé que l'exercice de l'activité antérieure était impossible. Il subsistait cependant une capacité de travail résiduelle dans une activité adaptée, qui dépendait de l'existence, sur le marché du travail, d'un poste adapté aux limitations fonctionnelles, lesquelles étaient assez nombreuses. Si toutes les limitations étaient respectées, la capacité de travail pouvait être entière. Si tel n'était pas le cas, il faudrait tenir compte de la fatigue et/ou de la baisse de rendement découlant de gestes inadaptés au handicap. Une activité légère, de type contrôle ou surveillance, par exemple, serait envisageable à 100%, pour autant que la possibilité soit donnée d'alterner les positions assise/debout. La Cour de céans constate que le rapport d'expertise du CEMed se base sur des examens de la recourante et sur son dossier médical. L'anamnèse est complète et les plaintes de l’intéressée ont été prises en considération. Les descriptions et les appréciations de la situation médicale sont claires. Les experts ont expliqué pour quelles raisons ils retenaient tel ou tel diagnostic, leurs conclusions sont cohérentes, convaincantes et ne laissent pas apparaître de contradictions. Il s'ensuit que leur rapport a pleine valeur probante. La recourante conteste cependant leurs conclusions et invoque à cet égard le rapport du Dr D______ du 10 novembre 2003 et les conclusions du COPAI du 18 novembre 2003. Le 10 novembre 2003, le Dr D______, médecin consultant auprès du COPAI, a relevé notamment que la recourante se plaignait de douleurs aux coudes, prédominant à gauche, associées à une tendinite de De Quervain. Le stage avait confirmé l'impression clinique, montrant que toutes les activités manuelles, même</w:t>
      </w:r>
    </w:p>
    <w:p>
      <w:r>
        <w:t>A/2239/2016 - 13/18 - très légères, étaient irréalisables. Comme le niveau de l’assurée ne lui permettait pas d'envisager une formation dans un secteur non manuel (qui serait de toute façon difficile car elle ne pouvait ni écrire, ni se servir d'un clavier efficacement), le médecin en a tiré la conclusion que l’incapacité de travail était totale. Les conclusions de l’observation professionnelle - qui avait pour but d'apprécier les capacités résiduelles de la recourante, en temps et en rendement, dans une activité adaptée - vont dans le même sens puisque les maîtres socio-professionnels ont estimé que l’intéressée ne pouvait être réinsérée dans le circuit économique ordinaire en raison d’une importante diminution de la mobilité des membres supérieurs (lors de la mesure, une mobilité restreinte du membre supérieur droit et une utilisation rare, voire inexistante sauf comme aide, du membre supérieur gauche ont été observées), de l'impossibilité de porter ou soulever des charges et de l'apparition de douleurs dans les épaules lors de l'exécution de mouvements répétitifs. Au cours du déroulement des divers travaux d'atelier, il y avait toujours eu au moins une action que la recourante n'avait pu réaliser seule. Les rendements et le rythme de travail fournis ne permettaient pas de répondre aux exigences du milieu économique. Quant aux possibilités d'envisager un autre secteur professionnel, comme celui du tertiaire, cela restait illusoire au vu, non seulement du niveau des compétences de la recourante, mais aussi des atteintes physiques qui limitaient une grande partie des activités, comme l'utilisation d'un clavier par exemple. Cette situation devait être considérée comme définitive. L'intimée soutient que ce rapport du COPAI ne peut être pris en compte parce qu’il se base, pour évaluer la capacité de travail résiduelle, sur des circonstances - formation, expérience professionnelle et capacités d'adaptation de l’assurée dans un autre domaine - dont l’assurance-accidents n’a pas à répondre. Il n’est pas contesté par l’intimée que les troubles aux coudes et la tendinite de De Quervain dont souffrait la recourante lors du stage d’observation professionnelle en 2003 (cf. rapport du Dr D______) font partie des maladies professionnelles retenues par la Cour de céans dans son arrêt du 25 juin 2013 (ATAS/665/2013). Par ailleurs, le TAF, dans son arrêt du 8 novembre 2010 (C-5490/2007), a déjà dûment examiné la question de savoir si les spécialistes du COPAI avaient pris en compte des facteurs d'incapacité de travail qui ne seraient pas directement liés aux capacités physiques de la recourante. Le TAF a ainsi constaté (consid. 11.3.2.1) que si les responsables de l'observation professionnelle avaient certes mentionné le fait que les capacités d'adaptation, d'apprentissage et d'intégration sociale de l’assurée leur semblaient insuffisantes, ils avaient expressément souligné, tant dans leur synthèse générale que dans leurs conclusions spécifiques aux différentes capacités évaluées, que les difficultés de la recourante étaient bel et bien dues à ses limitations physiques. Ils avaient ainsi précisé que les capacités d'adaptation, d'apprentissage et d'intégration sociale permettraient, en elles-mêmes, un emploi dans le circuit économique normal, si l'état de santé de la recourante le lui permettait. En conséquence, on ne pouvait considérer que les facteurs personnels</w:t>
      </w:r>
    </w:p>
    <w:p>
      <w:r>
        <w:t>A/2239/2016 - 14/18 - constituaient, dans l'appréciation des spécialistes du COPAI, des éléments prédominants par rapport aux autres causes directement liées aux capacités physiques de la recourante et que ces dernières étaient négligeables en soi. Le TAF a également relevé que les spécialistes du COPAI n'avaient pas fait état d'un manque d'efforts de la part de la recourante. Ils avaient au contraire souligné son application et son intérêt pour les travaux proposés, sa curiosité et sa volonté de bien faire, une participation active et une absence d'opposition. Dans les activités de type tertiaire, les rendements avaient été de l'ordre de 70%, soit bien plus élevés que pour les travaux manuels, mais avec une importante suradaptation, car la recourante sentait bien que c'était le seul domaine encore à sa portée. Mais ces efforts importants pour obtenir un résultat correct l'avaient finalement pénalisée car elle ne pouvait, à la suite de ces activités, recommencer tout de suite un autre exercice. Cela s'était traduit pas une journée d'arrêt de travail justifié. Compte tenu de ce qui précède, la Cour de céans se range à l’avis exprimé par le TAF dans son arrêt du 8 novembre 2010, selon lequel les informations recueillies à l'occasion du stage d'observation auprès du COPAI ne peuvent être écartées au motif que les spécialistes auraient pris en considération des facteurs d'incapacité de travail qui ne seraient pas directement liés aux capacités physiques de la recourante ou qu'ils se seraient basés essentiellement sur ses plaintes subjectives. L'intimée fait encore valoir que les données médicales recueillies auprès des experts du CEMed, confirmées par le Dr J______, doivent l'emporter sur les constatations faites à l'occasion du stage d'observation professionnelle. Là encore, le TAF, dans son arrêt du 21 mars 2016 (C-2547/2013), a déjà examiné cette question. Il a noté que les experts du CEMed s’étaient uniquement prononcés sur la capacité de travail résiduelle médico-théorique de la recourante, non sur l'exigibilité d'une activité concrète, alors que les spécialistes du COPAI avaient, eux, examiné concrètement dans quelle mesure la recourante était à même de mettre en valeur dite capacité de travail résiduelle sur le marché du travail (arrêt précité, consid. 9.4). Ces derniers avaient conclu à l'impossibilité de réinsérer la recourante dans le circuit économique ordinaire en raison des limitations physiques (limitations importantes de la mobilité des membres supérieurs, port de charges très limité, force insuffisante, absence de rythme de travail suffisamment rentable, résistance insuffisante des membres supérieurs), si nombreuses que, quelle que soit l’activité tentée, il s’était toujours présenté au moins une, voire plusieurs actions, non exigibles (p. 7 du rapport du 18 novembre 2003). Ces considérations ont amené le TAF à retenir, dans son arrêt du 21 mars 2016, que les conclusions du COPAI complétaient utilement l'appréciation médico-théorique des experts du CEMed et permettaient de conclure à l’absence d’une capacité résiduelle de travail exploitable économiquement et donc exigible. La Cour de céans fait siennes les observations et conclusions du TAF, d’autant que ni l'intimée, ni le Dr J______ ne donnent d'exemple concret d'activité qui pourrait être adaptée à la situation de la recourante. Le SMR l’a fait, lui, et a proposé</w:t>
      </w:r>
    </w:p>
    <w:p>
      <w:r>
        <w:t>A/2239/2016 - 15/18 - différentes activités, telles celles de contrôleuse qualité en maroquinerie, contrôleuse en polissage, surveillante de parking ou de magasin, vendeuse de textiles ou de produits de maroquinerie (document 157 page 1, dossier AI). Cela étant, la Cour de céans note, tout comme l’a fait le TAF, que, dans la mesure où les experts du CEMed ne se sont déterminés que sur la capacité de travail résiduelle médico-théorique de l’assurée et non sur l'exigibilité d'une activité concrète, leur rapport ne permet pas de fonder cette liste d'activités (arrêt précité, consid. 9.2). Partant, il y a lieu de retenir, au degré de la vraisemblance prépondérante, que la recourante ne disposait pas, lors du stage d’observation professionnelle effectué fin 2003, d'une capacité de travail résiduelle exploitable économiquement. Or, depuis lors, son état de santé ne s’est pas amélioré, au contraire, puisqu’elle a souffert en outre d’un syndrome du canal carpien gauche et de cervicalgies, atteintes reconnues comme étant des maladies professionnelles, et qui ont encore augmenté le nombre des limitations fonctionnelles par rapport à celles retenues par le COPAI (cf. rapport des Drs H______ et I______ du 8 décembre 2011 et rapport du Dr J______ du 11 mai 2017). Par conséquent, dans la mesure où la recourante ne dispose plus d'une capacité résiduelle de travail exploitable économiquement, et donc exigible, son degré d'invalidité droit être fixé à 100%. La recourante a donc droit au versement d'une rente d'invalidité au taux de 100% à compter du 1er février 2004. Sur ce point, le recours doit être admis et la décision litigieuse annulée.</w:t>
      </w:r>
    </w:p>
    <w:p>
      <w:r>
        <w:rPr>
          <w:b/>
        </w:rPr>
        <w:t>E. 12</w:t>
      </w:r>
    </w:p>
    <w:p>
      <w:r>
        <w:t>janvier 2004 consid. 5.2).</w:t>
      </w:r>
    </w:p>
    <w:p>
      <w:r>
        <w:rPr>
          <w:b/>
        </w:rPr>
        <w:t>E. 13</w:t>
      </w:r>
    </w:p>
    <w:p>
      <w:r>
        <w:t>En l’occurrence, dans son rapport du 11 mai 2017, le Dr J______ a relevé que les seules limitations des amplitudes articulaires mises en évidence par les experts du CEMed avaient été une légère limitation de la rotation et de l'inclinaison de la tête. Les mouvements des coudes, des poignets, des mains et des doigts étaient tous dans les limites de la norme et il n'y avait pas de déficit sensitivo-moteur objectivable à ces niveaux. Ainsi, les maladies professionnelles reconnues au niveau du rachis cervical, des deux coudes et des deux poignets de la recourante, n'ouvraient donc pas droit à une IPAI. On relèvera que cet avis, établi sur la base d'un dossier médical contenant plusieurs appréciations fondées sur un examen personnel de la recourante, est dûment motivé et convainquant. Il ne contient pas de contradictions et aucun indice ne permet de mettre en cause son bien-fondé. Il s'ensuit qu'une pleine valeur probante doit lui être octroyée. La recourante soutient, quant à elle, qu’en raison de ses maladies professionnelles, elle a droit à une IPAI de 15%. La Cour de céans rappelle que le taux de l'atteinte à l'intégrité est déterminé uniquement en fonction des constatations médicales. Or, la recourante ne produit aucun rapport rendant plausible une erreur d’appréciation du Dr J______ et permettant de retenir l’existence d’une atteinte à l’intégrité consécutive aux maladies professionnelles, étant précisé que le seul fait que celles-ci entraînent une incapacité de travail ne suffit pas à conclure en ce sens. Par conséquent, c’est à bon droit que l’intimé a nié le droit de la recourante à une IPAI. La décision litigieuse est confirmée sur ce point.</w:t>
      </w:r>
    </w:p>
    <w:p>
      <w:r>
        <w:rPr>
          <w:b/>
        </w:rPr>
        <w:t>E. 14</w:t>
      </w:r>
    </w:p>
    <w:p>
      <w:r>
        <w:t>Eu égard aux considérations qui précèdent, le recours est admis partiellement et la décision querellée annulée en tant qu'elle octroie une rente d'invalidité de 29% dès le 1er février 2004. Elle est confirmée pour le surplus. La recourante a droit au versement d'une rente d'invalidité d'un taux de 100% dès le 1er février 2004. La cause est renvoyée à l'intimée pour calcul des prestations dues et nouvelle décision.</w:t>
      </w:r>
    </w:p>
    <w:p>
      <w:r>
        <w:t>A/2239/2016 - 17/18 - Représentée par un mandataire, la recourante, qui obtient gain de cause, a droit à une indemnité de CHF 3'500.- à titre de dépens (art. 61 let. g LPGA ; art. 89 H de la loi sur la procédure administrative du 12 septembre 1985 [LPA - E 5 10] ; art. 6 du règlement sur les frais, émoluments et indemnités en procédure administrative du 30 juillet 1986 [RFPA - E 5 10.03]). Pour le surplus, la procédure est gratuite (art. 61 let. a LPGA).</w:t>
      </w:r>
    </w:p>
    <w:p>
      <w:r>
        <w:t>A/2239/2016 - 18/18 -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