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ATAS/197/2015 vom 16. März 2015</w:t>
      </w:r>
    </w:p>
    <w:p>
      <w:r>
        <w:t>GE Cour de justice, 2015-03-16, FR</w:t>
      </w:r>
    </w:p>
    <w:p>
      <w:r>
        <w:rPr>
          <w:b/>
        </w:rPr>
        <w:t xml:space="preserve">Quelle: </w:t>
      </w:r>
      <w:r>
        <w:t>https://mcp.opencaselaw.ch/entscheid/ge_gerichte_ATAS_197_2015</w:t>
      </w:r>
    </w:p>
    <w:p>
      <w:r>
        <w:t>FR: GE_GERICHTE ATAS/197/2015 du 16 mars 2015</w:t>
      </w:r>
    </w:p>
    <w:p>
      <w:r>
        <w:t>IT: GE_GERICHTE ATAS/197/2015 del 16 marzo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la suspension des indemnités de chômage du recourant pour une durée de 31 jours, pour non-respect d’une assignation d’emploi.</w:t>
      </w:r>
    </w:p>
    <w:p>
      <w:r>
        <w:rPr>
          <w:b/>
        </w:rPr>
        <w:t>E. 3</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w:t>
      </w:r>
    </w:p>
    <w:p>
      <w:r>
        <w:t>A/2387/2014 - 5/8 -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 verwaltungsrecht [SBVR], Soziale Sicherheit, ch. 704). Ceci, afin de ne pas compromettre la possibilité de mettre un terme dès que possible à son chômage.</w:t>
      </w:r>
    </w:p>
    <w:p>
      <w:r>
        <w:rPr>
          <w:b/>
        </w:rPr>
        <w:t>E. 4</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 durée de la suspension du droit à l'indemnité de chômage est ainsi fixée compte tenu non seulement de la faute, mais également du principe de proportionnalité (Thomas NUSSBAUMER, Arbeitslosenversicherung, in Schweizerisches Bundesverwaltungsrecht, Soziale Sicherheit, 2ème éd., p. 2435 note 855).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(Arrêts du Tribunal fédéral 8C_73/2013 du 29 août 2013 consid 5.1; 8C_33/2012 du 26 juin 2012 consid. 3.2).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A/2387/2014 - 6/8 -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force est de constater que la recourante n’a pas donné suite à l’assignation d’emploi de l’intimé dans le délai imparti au 3 février 2014 – délai figurant sur le recto de l’assignation en question. Les explications de la recourante ont évolué à chaque fois qu'elle a dû s'expliquer au sujet du manquement qui lui est reproché. Elles ont été en outre sensiblement différentes, lorsqu'après avoir pris connaissance de la sanction qui lui était infligée, elle a formé opposition à cette décision. Ainsi, ses explications - selon lesquelles elle venait juste d'apprendre à se servir d'un ordinateur et n'avait pas encore la dextérité pour répondre par mail et qu'elle aurait à plusieurs reprises essayé de répondre par mail, car il ne fallait répondre à cette annonce que par cette voie -, ne sont pas convaincantes et ne sauraient suffire à excuser son manquement, qui doit être qualifié de grave au sens de la jurisprudence. On peine en effet à comprendre qu’il ait fallu à la recourante plus d'un mois pour prendre contact avec le service employeurs. En effet, si elle n'était pas sûre d'avoir pu répondre par courriel, non seulement elle avait la possibilité d'adresser sa candidature par courrier postal, voire de déposer son dossier en se rendant sur place, l'adresse étant expressément indiquée sur le descriptif de l'emploi vacant, sous l'adresse e-mail indiquée. Contrairement à ce qu'elle affirme, ce mode de transmission de la demande n'était pas indiqué à titre exclusif : il a été sélectionné par une coche, parmi d'autres possibilités de démarches préimprimées - non pertinentes en l'occurrence : adresser un courrier à l'employeur, téléphoner à l'interlocuteur de l'employeur ou encore effectuer une visite personnelle. À cela s'ajoute encore que la lettre d'assignation à l'emploi vacant lui était formellement adressée par son conseiller, dont le nom figure sur la lettre (sans signature manuscrite). Elle aurait évidemment pu lui téléphoner, en cas de difficultés. Mais encore: lorsqu'elle l'a rencontré le 19 février 2014, elle a évoqué, - selon le procès-verbal -, son manque d'autonomie pour effectuer des recherches d'information et/ou de postulation via Internet ou par écrit. Mais il n'y a pas trace de difficultés qu'elle aurait concrètement rencontrées pour donner suite au courrier du 29 janvier 2014. C'eût été pourtant bien là l'occasion d'en parler à son conseiller. Sans compter qu'elle aurait pu se renseigner directement auprès du service employeurs, pour savoir si son dossier était bien parvenu. Quoi qu’il en soit, les délais de candidature étaient largement dépassés. Il ressort aussi d'autres documents versés au dossier que la recourante n'a pas toujours été d'une transparence exemplaire par rapport à ses démarches : on note par exemple, dans le procès-verbal d'entretien de conseil du 28 novembre 2013, dans la rubrique « plan d'action (obligatoire): annonce caisse 2 jours sans contrôle</w:t>
      </w:r>
    </w:p>
    <w:p>
      <w:r>
        <w:t>A/2387/2014 - 7/8 - (DE [demandeuse d'emploi] me dit au début entretien avoir déjà donné IPA [Indications de la Personne Assurée] et en fin d'entretien ne pas l'avoir encore donné…) » En conséquence, il y a lieu de retenir que la recourante a fait échouer une possibilité concrète d’emploi et commis une faute que la jurisprudence considère comme grave. En effet, le poste vacant proposé l'était pour un 80 % et pour une durée indéterminée, et correspondait précisément à son profil et notamment à sa dernière expérience professionnelle, de juillet 2007 à septembre 2013, en tant que gérante de boutique de vêtements. Par ce manquement, elle n'a donc pas participé comme on était en droit d'attendre d'elle à diminuer le dommage généré par la prolongation de sa période de chômage, et devait donc être sanctionnée. Or, dans le cas d'espèce, les directives du SECO (Bulletin LACI IC D72 ch. 2B) recommandent à titre de sanction, pour un premier refus d’un emploi convenable ou d’un emploi en gain intermédiaire à durée indéterminée assigné à l’assuré, une suspension du droit à l'indemnité d'une durée de 31 à 45 jours. En l'occurrence, la quotité de la sanction prononcée, à savoir 31 jours de suspension, tient, notamment, compte de la faute commise et du fait qu'il s'agit du premier manquement retenu à l'encontre de l'assurée. Par ailleurs, elle s'inscrit dans la limite inférieure du barème établi par le SECO pour un tel manquement. Au vu de l'ensemble des circonstances du cas d'espèce, il n'apparaît pas que l'autorité intimée aurait excédé son pouvoir d'appréciation, la sanction prononcée demeurant proportionnée au manquement reproché à la recourante. Dès lors, la suspension du droit à l’indemnité prononcée par l’autorité intimée était justifiée, et ne peut dès lors qu'être confirmée.</w:t>
      </w:r>
    </w:p>
    <w:p>
      <w:r>
        <w:rPr>
          <w:b/>
        </w:rPr>
        <w:t>E. 6</w:t>
      </w:r>
    </w:p>
    <w:p>
      <w:r>
        <w:t>Pour le surplus, la procédure est gratuite (art. 61 let. a LPGA).</w:t>
      </w:r>
    </w:p>
    <w:p>
      <w:r>
        <w:t>A/2387/2014 - 8/8 -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