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ATAS/196/2020 vom 25. Februar 2020</w:t>
      </w:r>
    </w:p>
    <w:p>
      <w:r>
        <w:t>GE Cour de justice, 2020-02-25, FR</w:t>
      </w:r>
    </w:p>
    <w:p>
      <w:r>
        <w:rPr>
          <w:b/>
        </w:rPr>
        <w:t xml:space="preserve">Quelle: </w:t>
      </w:r>
      <w:r>
        <w:t>https://mcp.opencaselaw.ch/entscheid/ge_gerichte_ATAS_196_2020</w:t>
      </w:r>
    </w:p>
    <w:p>
      <w:r>
        <w:t>FR: GE_GERICHTE ATAS/196/2020 du 25 février 2020</w:t>
      </w:r>
    </w:p>
    <w:p>
      <w:r>
        <w:t>IT: GE_GERICHTE ATAS/196/2020 del 25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A/2127/2019 - 8/24 -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(du 1er janvier 2009)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Le recours, interjeté le 3 juin 2019 contre la décision litigieuse du 2 mai 2019, a été formé en temps utile, compte tenu du report au lundi 3 juin 2019 de l'échéance dudit délai tombée sur le dimanche 2 juin 2019 (art. 38 al. 3 LPGA). Aussi le recours, qui respecte par ailleurs la forme prévue par loi (art. 61 let. b LPGA), est-il recevable.</w:t>
      </w:r>
    </w:p>
    <w:p>
      <w:r>
        <w:rPr>
          <w:b/>
        </w:rPr>
        <w:t>E. 5</w:t>
      </w:r>
    </w:p>
    <w:p>
      <w:r>
        <w:t>septembre 2018 du Dr D______, médecin d’arrondissement, aux termes de laquelle le degré de l’atteinte à l’épaule droite, déjà fixé à 10 % par appréciation du 16 mars 2016, demeurait inchangé. La recourante a formé opposition à la décision du 29 novembre 2018, en concluant entre autres à l’octroi d’une indemnité pour atteinte à l’intégrité, et a réitéré dans son recours sa conclusion relative au versement de cette indemnité. Le litige porte donc sur le droit de la recourante à une rente de l’assurance- accidents et à une indemnité complémentaire pour atteinte à l’intégrité.</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w:t>
      </w:r>
    </w:p>
    <w:p>
      <w:r>
        <w:t>A/2127/2019 - 10/24 - références; RAMA 2006 n° U 570 p. 74 consid. 1.5.2; arrêt du Tribunal fédéral des assurances U 80/05 du 18 novembre 2005 consid.1.1).</w:t>
      </w:r>
    </w:p>
    <w:p>
      <w:r>
        <w:rPr>
          <w:b/>
        </w:rPr>
        <w:t>E. 8</w:t>
      </w:r>
    </w:p>
    <w:p>
      <w:r>
        <w:t>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A/2127/2019 - 11/24 -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tant le Dr D______ que les médecins de la CRR ont retenu que la recourante, qui travaillait en tant que nettoyeuse, peut exercer à temps complet une activité adaptée légère respectant ses limitations fonctionnelles en dépit de son affection de l’épaule droite − en relation avec l'accident du 1er janvier 2009. Leurs conclusions, qui ne sont pas remises en cause par la recourante, sont convaincantes, dès lors qu’elles se fondent sur l’examen clinique de celle-ci, complété par la lecture du dossier ainsi que ses plaintes. En outre, aucun autre rapport médical ne suscite de doute qui justifierait que l'on se distancie de leur appréciation. Partant, la chambre de céans retient que la recourante dispose d’une capacité de travail entière dans une activité adaptée légère. b. Au 5 septembre 2018, au moment de l’examen final, le Dr D______ a considéré qu’en l’absence de nouvelle intervention chirurgicale attendue, l'état de santé de la recourante, dont le traitement régulier consistait en la prise de comprimés antidouleur (Dafalgan et Irfen), était stabilisé. Cette dernière ne conteste pas cette appréciation, pas plus qu’elle n’allègue qu’un traitement médical (par exemple une opération chirurgicale) serait en mesure d'améliorer significativement son état de santé et a fortiori sa capacité de travail, étant relevé que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Par conséquent, dès ce moment-là, et vu que l'OAI n'a pas mis en œuvre de mesures de réadaptation, l'intimée était fondée à examiner les conditions du droit éventuel à une rente d'invalidité.</w:t>
      </w:r>
    </w:p>
    <w:p>
      <w:r>
        <w:t>A/2127/2019 - 12/24 -</w:t>
      </w:r>
    </w:p>
    <w:p>
      <w:r>
        <w:rPr>
          <w:b/>
        </w:rPr>
        <w:t>E. 12</w:t>
      </w:r>
    </w:p>
    <w:p>
      <w:r>
        <w:t>Il convient à présent d'examiner le degré d'invalidité présenté par la recourante.</w:t>
      </w:r>
    </w:p>
    <w:p>
      <w:r>
        <w:rPr>
          <w:b/>
        </w:rPr>
        <w:t>E. 13</w:t>
      </w:r>
    </w:p>
    <w:p>
      <w:r>
        <w:t>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(arrêt du Tribunal fédéral 8C_708/2007 du 21 août 2008 consid. 5.5 et les références).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w:t>
      </w:r>
    </w:p>
    <w:p>
      <w:r>
        <w:t>A/2127/2019 - 13/24 - d. Lors du recours aux données statistiques des ESS,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w:t>
      </w:r>
    </w:p>
    <w:p>
      <w:r>
        <w:t>A/2127/2019 - 14/24 - sécurité et la conduite de véhicules (arrêt du Tribunal fédéral 9C_370/2019 du 10 juillet 2019 consid. 4.1 et les références). e.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 406/01 du 28 novembre 2002 consid. 1.2).</w:t>
      </w:r>
    </w:p>
    <w:p>
      <w:r>
        <w:rPr>
          <w:b/>
        </w:rPr>
        <w:t>E. 14</w:t>
      </w:r>
    </w:p>
    <w:p>
      <w:r>
        <w:t>a. En l’espèce, contrairement à ce que prétend la recourante, le taux d’invalidité reconnu par l’OAI ne lie pas l’intimée. En effet, la responsabilité de l'assureur-accidents se limite aux seules atteintes qui se trouvent en lien de causalité naturelle et adéquate avec l'accident assuré (ATF 119 V 337 consid. 1 et les références). Or, comme cela ressort de l’avis du SMR du 3 décembre 2018, l’OAI a pris en considération de nombreuses autres atteintes (lombosciatalgies, épitrochléite, syndrome rotulien, discrète coxarthrose, talalgies) que celle résultant strictement de l'accident du 1er janvier 2009, à savoir la rupture de la coiffe des rotateurs de l’épaule droite. Ainsi, de l’avis du SMR, si, selon le Dr D______, la recourante présente, pour les seules séquelles de l’épaule droite, une capacité de travail entière dans une activité adaptée, en revanche, sous l’angle de l’assurance-invalidité, compte tenu des autres atteintes ostéoarticulaires à l’origine de limitations fonctionnelles supplémentaires du rachis et des membres inférieurs, la capacité de travail dans une activité adaptée est de 50 %.</w:t>
      </w:r>
    </w:p>
    <w:p>
      <w:r>
        <w:t>A/2127/2019 - 15/24 - Vu que la capacité de travail de la recourante dans une activité adaptée est, pour les motifs précités, différente en assurance-accidents et en assurance-invalidité, le revenu d’invalide, dans le premier cas, calculé par rapport à un taux d’activité de 100 %, se distingue inévitablement de celui à retenir dans le second cas, qui doit être calculé sur la base d’un taux d’activité de 50 %. Au passage, on relèvera que le revenu d’invalide arrêté par l’OAI (CHF 8'745.-) est erroné, dès lors qu’il se fonde sur un taux d’activité de 20 % − l’OAI a confondu la part professionnelle de 20 %, fixée compte tenu du statut mixte retenu, avec le taux de la capacité de travail dans une activité adaptée (50 %), lequel est déterminant pour le calcul du revenu avec invalidité. Ensuite, s’agissant du revenu sans invalidité, l’OAI a considéré à tort que celui-ci ne pouvait pas être déterminé, motif pris que le taux d’activité de la recourante avait fluctué les dernières années. En effet, selon la jurisprudence, on peut recourir aux données statistiques résultant de l'ESS pour fixer le revenu sans invalidité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Or, in casu, certes, la recourante, en sa qualité de nettoyeuse, était payée en fonction des heures effectivement accomplies, selon un horaire variable, si bien que son salaire mensuel variait d’un mois à l’autre. Cependant, l’employeur a renseigné l’administration au sujet de la rémunération que percevait la recourante avant son atteinte à la santé, et communiqué les décomptes de salaire annuel. L’OAI disposait ainsi des informations lui permettant de déterminer le salaire réalisé en dernier lieu par la recourante avant l'atteinte à la santé, et de l’indexer à l'évolution des salaires. Il n’était donc pas nécessaire de recourir aux données statistiques résultant de l'ESS. Du reste, comme le relève à juste titre l’intimée, l’OAI s’est basé sur la ligne totale de l’ESS (secteur privé), alors que le salaire statistique usuel obtenu par les femmes dans les activités de nettoyage, domaine dans lequel était employée la recourante, correspond à la ligne 812 selon la nomenclature générale des activités économiques (NOGA 2008), publiée par l’office fédéral de la statistique, soit la ligne 81 du tableau TA1_tirage_skill_level.</w:t>
      </w:r>
    </w:p>
    <w:p>
      <w:r>
        <w:t>A/2127/2019 - 16/24 - Le salaire résultant de l’ESS, pris en compte par l’OAI, n’étant pas représentatif de celui que touchait la recourante en tant que nettoyeuse avant son atteinte à la santé, le revenu sans invalidité retenu par l’administration est erroné. En conséquence, c’est à juste titre que l'intimée ne s'est pas référée au degré d'invalidité établi par l'OAI, et a procédé à sa propre évaluation. b. Pour procéder à la comparaison des revenus, il convient de se placer au moment de la naissance du droit à la rente (arrêt du Tribunal fédéral U 311/02 du 4 février 2003 consid. 4.1), soit en l'occurrence le 5 septembre 2018, date à laquelle l'état de santé de la recourant peut être considéré comme stabilisé (art. 19 al. 1 LAA ; cf. consid. 11b. ci-dessus). La comparaison des revenus doit donc se faire au regard de cette année-là. c/aa. S’agissant du revenu annuel sans invalidité que la recourante aurait pu obtenir en 2018 dans son ancienne activité de nettoyeuse si elle n’avait pas été atteinte dans sa santé, selon les données communiquées par l’ancien employeur, celle-ci toucherait un salaire horaire de CHF 19.60.-, ainsi qu’un supplément de 8,33 % pour les indemnités de vacances et jours fériés, puis de CHF 1.63/heure à titre du treizième salaire. Dans la mesure où la recourante était active dans le domaine du nettoyage dans le canton de Genève, elle était soumise à la CCT du secteur du nettoyage pour la Suisse romande, dont l’art. 10 prévoit une durée hebdomadaire maximum de travail de 43 heures. Pour le canton de Genève, une indemnité de vacances de 8,33 % est accordée aux travailleurs âgés de plus de 20 ans mais qui n’exercent pas à plein temps. Cette indemnité s’élève par contre à CHF 8,79 % en cas d’un plein-temps durant plus de cinq années de service chez le même employeur (art. 17 CCT). Dans la mesure où la recourante a collaboré au service de son ancien employeur pendant plus de cinq années, et compte tenu du fait que le revenu sans invalidité correspond à celui que la recourante aurait perçu dans son ancienne activité à plein temps (peu importe qu’elle travaillait à temps partiel), il convient de majorer le salaire horaire non par 8,33 % mais par 8,79 %. Dès lors qu’une indemnité de vacances de 8,79 % correspond à un droit aux vacances de 4 semaines et un jour (art. 17 CCT), il y a lieu de multiplier le salaire horaire par 47,86 (52 semaines = 365 jours en 2018 moins 4 semaines de vacances et un jour = 29 jours ; soit 336 jours × 52 semaines/ 365 jours = 47,86 semaines) afin d’éviter une double indemnisation (cf. arrêt du Tribunal fédéral 8C_708/2007 du 21 août 2008 consid. 5.5 et la référence). Ainsi, le revenu sans invalidité à plein temps s’élève à CHF 47'236.- selon le calcul suivant : CHF 22.95 (CHF 19.60.- + 8,79 % + 1.63/heure) x 43 heures x 47,86 = CHF 47'236.48. L’intimée a procédé à un calcul légèrement différent et arrêté le revenu sans invalidité à CHF 47'476.-, puisqu’elle n’a pas intégré au salaire horaire, qu’elle a majoré de 8,33 % (au lieu de 8,79 %), le montant de CHF 1.63/heure à titre du</w:t>
      </w:r>
    </w:p>
    <w:p>
      <w:r>
        <w:t>A/2127/2019 - 17/24 - treizième salaire, et qu’elle a multiplié le gain hebdomadaire par 52 semaines plutôt que 47,86 semaines. c/bb. La recourante fait valoir que l’intimée a abusé de son pouvoir d’appréciation en retenant un revenu sans invalidité inférieur de 10 % aux normes statistiques relevant de l’ESS dans la profession ici en cause. Selon la jurisprudence,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(arrêt du Tribunal fédéral 9C_692/2010 du 31 janvier 2011 consid. 3.2 et la référence). En l’espèce, le salaire statistique usuel obtenu par les femmes dans les activités de nettoyage, secteur dans lequel était employée la recourante, s’élève en 2018 à CHF 47'248.-. En effet, le salaire de référence dans ce domaine dans le secteur privé selon l’ESS 2016 (TA1_tirage_skill_level, ligne 81, niveau 1, femme, part au 13ème salaire comprise) est de CHF 3’745.- par mois pour 40 heures de travail par semaine, soit un revenu annuel de CHF 46'850.- après adaptation à l'horaire usuel de 41,7 heures hebdomadaires en 2016 dans le domaine concerné (tableau « Durée normale du travail dans les entreprises selon la division économique » de l’office fédéral de la statistique ; 3'745 × 12 = 44'940 × 41,7/ 40 = 46’850). Après adaptation de ce montant à l'évolution des salaires nominaux pour les femmes en 2018 − année déterminante pour la comparaison des revenus − (Indice suisse des salaires publié par l’office fédéral de la statistique [ISS]; en 2016: 2709 et en 2018: 2732), le revenu sans invalidité est de CHF 47'248.- (46'850 × 2732/ 2709). Le revenu sans invalidité retenu par l’intimée (CHF 47'476.-) étant supérieur au salaire statistique usuel dans la branche, le grief de la recourante est infondé. Du reste, le revenu sans invalidité déterminant in casu (CHF 47'236.48) n’est pas inférieur de 5 % au salaire statistique. d/aa. S’agissant du revenu avec invalidité en 2018, dès lors que la recourante n’a pas repris d’activité professionnelle, le revenu d’invalide peut être évalué sur la base des statistiques salariales figurant dans l’ESS. En ce qui concerne l’année de référence des tableaux statistiques à appliquer, l’ESS 2016 était déjà publiée (le 26 octobre 2018) au moment déterminant de la décision sur opposition du 2 mai 2019. Aussi convient-il de se référer à la version 2016 (arrêt du Tribunal fédéral 8C_655/2016 du 4 août 2017 consid. 6.3).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Il n’est pas</w:t>
      </w:r>
    </w:p>
    <w:p>
      <w:r>
        <w:t>A/2127/2019 - 18/24 - irréaliste de retenir qu'il existe, parmi la large palette d'activités considérées, un emploi adapté à la situation de la recourante sur un marché du travail équilibré. Cette notion est certes théorique et abstraite mais elle est inhérente au système et trouve son fondement à l'art. 16 LPGA (arrêt du Tribunal fédéral 8C_771/2011 du</w:t>
      </w:r>
    </w:p>
    <w:p>
      <w:r>
        <w:rPr>
          <w:b/>
        </w:rPr>
        <w:t>E. 15</w:t>
      </w:r>
    </w:p>
    <w:p>
      <w:r>
        <w:t>Reste à examiner si la recourante peut prétendre une indemnité complémentaire pour atteinte à l’intégrité.</w:t>
      </w:r>
    </w:p>
    <w:p>
      <w:r>
        <w:rPr>
          <w:b/>
        </w:rPr>
        <w:t>E. 16</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w:t>
      </w:r>
    </w:p>
    <w:p>
      <w:r>
        <w:t>A/2127/2019 - 22/24 -</w:t>
      </w:r>
    </w:p>
    <w:p>
      <w:r>
        <w:rPr>
          <w:b/>
        </w:rPr>
        <w:t>E. 17</w:t>
      </w:r>
    </w:p>
    <w:p>
      <w:r>
        <w:t>Depuis le 1er janvier 2008, le montant maximum du gain assuré s’élève à CHF 126'000.- par an et CHF 346.- par jour (art. 22 al. 1 de l'ordonnance sur l'assurance-accidents, du 20 décembre 1982 [OLAA ; RS 832.202]). En cas de rechute ou de séquelles tardives, la base de calcul déterminante pour le calcul de l'indemnité pour atteinte à l'intégrité due est le montant maximum du gain annuel assuré au jour de l'accident (ATF 127 V 456 consid. 4).</w:t>
      </w:r>
    </w:p>
    <w:p>
      <w:r>
        <w:rPr>
          <w:b/>
        </w:rPr>
        <w:t>E. 18</w:t>
      </w:r>
    </w:p>
    <w:p>
      <w:r>
        <w:t>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D'après la table 1 relative à l'atteinte à l'intégrité résultant de troubles fonctionnels des membres supérieurs, une épaule bloquée en adduction correspond à une atteinte à l'intégrité de 30 %, une épaule mobile jusqu'à 30° au-dessus de l'horizontale à une atteinte à l'intégrité de 10 % et une épaule mobile jusqu'à l'horizontale à une atteinte à l'intégrité de 15 %.</w:t>
      </w:r>
    </w:p>
    <w:p>
      <w:r>
        <w:rPr>
          <w:b/>
        </w:rPr>
        <w:t>E. 19</w:t>
      </w:r>
    </w:p>
    <w:p>
      <w:r>
        <w:t>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w:t>
      </w:r>
    </w:p>
    <w:p>
      <w:r>
        <w:rPr>
          <w:b/>
        </w:rPr>
        <w:t>E. 20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A/2127/2019 - 23/24 -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21</w:t>
      </w:r>
    </w:p>
    <w:p>
      <w:r>
        <w:t>En l’espèce, par décision du 1er avril 2016, l’intimée a alloué à la recourante, sur la base de l’appréciation du Dr D______ du 16 mars 2016, une indemnité pour atteinte à l’intégrité de CHF 12'600.- en raison du trouble fonctionnel de son épaule droite. Suite à la rechute annoncée en juin 2017, par décision du 29 novembre 2018, confirmée sur opposition, l’intimée a refusé d’allouer une indemnité complémentaire, s’appuyant sur l’appréciation du Dr D______ du 5 septembre 2018, selon laquelle le taux d’atteinte à l’intégrité, déjà fixé à 10 % dans l’appréciation antérieure, demeurait inchangé. En mars 2016, le médecin d’arrondissement avait constaté que la mobilité de l’épaule droite était en abduction et antépulsion de 100° (actif) et de 120° (passif). L’épaule droite pouvait atteindre le plan de l’horizontale et le dépasser légèrement. En septembre 2018, ledit médecin a observé une nette limitation de la mobilité active et passive ; la mobilité de l’épaule droite en abduction et antépulsion était de 30° (actif) et de 40 °(passif). Il semble donc que la mobilité de cette épaule se soit péjorée, mais à défaut d’explications du Dr D______, on ne comprend pas pour quelle raison cette aggravation ne justifie pas de réviser l'indemnité pour atteinte à l’intégrité conformément à l’art. 36 al. 4, 2ème phrase, OLAA. En conséquence, il convient de renvoyer le dossier à l’intimée afin que le Dr D______ motive sa position. On ne saurait en effet priver les parties de la garantie d’une double instance avec plein pouvoir d’examen en fait et en droit (décision administrative sujette à opposition, puis recours).</w:t>
      </w:r>
    </w:p>
    <w:p>
      <w:r>
        <w:rPr>
          <w:b/>
        </w:rPr>
        <w:t>E. 22</w:t>
      </w:r>
    </w:p>
    <w:p>
      <w:r>
        <w:t>Au vu de ce qui précède, le recours sera partiellement admis. La décision du 2 mai 2019 sera annulée et le dossier renvoyé à l'intimée afin qu'elle procède conformément aux considérants puis rende une nouvelle décision en ce qui concerne l’octroi éventuel d’une indemnité complémentaire pour atteinte à l’intégrité. La recourante, représentée par 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900.-. Pour le surplus, la procédure est gratuite (art. 61 let. a LPGA).</w:t>
      </w:r>
    </w:p>
    <w:p>
      <w:r>
        <w:t>A/2127/2019 - 24/24 -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