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ATAS/196/2015 vom 11. Mai 2004</w:t>
      </w:r>
    </w:p>
    <w:p>
      <w:r>
        <w:t>GE Cour de justice, 2004-05-11, FR</w:t>
      </w:r>
    </w:p>
    <w:p>
      <w:r>
        <w:rPr>
          <w:b/>
        </w:rPr>
        <w:t xml:space="preserve">Quelle: </w:t>
      </w:r>
      <w:r>
        <w:t>https://mcp.opencaselaw.ch/entscheid/ge_gerichte_ATAS_196_2015</w:t>
      </w:r>
    </w:p>
    <w:p>
      <w:r>
        <w:t>FR: GE_GERICHTE ATAS/196/2015 du 11 mai 2004</w:t>
      </w:r>
    </w:p>
    <w:p>
      <w:r>
        <w:t>IT: GE_GERICHTE ATAS/196/2015 del 11 maggio 2004</w:t>
      </w:r>
    </w:p>
    <w:p>
      <w:pPr>
        <w:pStyle w:val="Heading2"/>
      </w:pPr>
      <w:r>
        <w:t>Erwägungen</w:t>
      </w:r>
    </w:p>
    <w:p>
      <w:r>
        <w:rPr>
          <w:b/>
        </w:rPr>
        <w:t>E. 1</w:t>
      </w:r>
    </w:p>
    <w:p>
      <w:r>
        <w:t>Conformément à l'art. 134 al. 1 let. a ch. 2 de la loi sur l'organisation judiciaire, du 26 septembre 2010 (LOJ - E 2 05) en vigueur depuis le 1er janvier 2011, la</w:t>
      </w:r>
    </w:p>
    <w:p>
      <w:r>
        <w:t>A/87/2015 - 7/11 -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En vertu de l’art. 54 al. 1 let. c LPGA, les décisions et décisions sur opposition sont exécutoires lorsque l’effet suspensif attribué à une opposition ou un recours a été retiré, étant précisé qu'en vertu de l'art. 97 de la loi fédérale sur l'assurance- vieillesse et survivants (LAVS ; RS 831.10) - applicable en vertu de l'art. 66 LAI -, les autorités administratives peuvent prévoir, dans leur décision, qu'un recours éventuel n'aura pas d'effet suspensif, même si la décision porte sur une prestation pécuniaire.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à la poursuite du paiement de la rente revient en réalité à requérir des mesures provisionnelles tendant au paiement de prestations pécuniaires au sens de l’art. 56 PA.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w:t>
      </w:r>
    </w:p>
    <w:p>
      <w:r>
        <w:t>A/87/2015 - 8/11 -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w:t>
      </w:r>
    </w:p>
    <w:p>
      <w:r>
        <w:rPr>
          <w:b/>
        </w:rPr>
        <w:t>E. 5</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w:t>
      </w:r>
    </w:p>
    <w:p>
      <w:r>
        <w:t>A/87/2015 - 9/11 - On ajoutera que, dans le contexte de la révision du droit à la rente, l'intérêt de l'assuré à pouvoir continuer à bénéficier de la rente perçue jusqu'alors n'est pas d'une importance décisive, tant qu'il n'y a pas lieu d'admettre que, selon toute vraisemblance, l’assuré l'emportera dans la cause principale. La situation matérielle difficile dans laquelle se trouve l’intéressé depuis la diminution du montant de sa rente d'invalidité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w:t>
      </w:r>
    </w:p>
    <w:p>
      <w:r>
        <w:rPr>
          <w:b/>
        </w:rPr>
        <w:t>E. 6</w:t>
      </w:r>
    </w:p>
    <w:p>
      <w:r>
        <w:t>Or, en l’espèce, les prévisions sur l'issue du litige ne présentent pas, pour l'assurée, un degré de certitude suffisant pour qu'elles soient prises en considération. En substance, la recourante reproche à l’autorité intimé d’avoir appliqué à tort les dispositions finales de la modification de la loi sur l’assurance-invalidité, d’une part, de ne pas l’avoir mise au bénéfice des mesures de réadaptation prévues par les dispositions transitoires, d’autre part. Elle en tire la conclusion que, quel que soit le sort réservé à son recours, jamais sa demi-rente n’aurait dû être supprimée avec effet immédiat. La décision de suppression de rente a été rendue sur la base des dispositions finales de la modification de la LAI (6ème révision), en vigueur depuis le 1er janvier 2012. Selon la lettre a alinéa 1 de ces dispositions, les rentes octroyées en raison d'un syndrome sans pathogenèse ni étiologie claires et sans constat de déficit organique sont réexaminées dans un délai de trois ans à compter de l'entrée en vigueur de ladite modification. Si les conditions visées à l'art. 7 LPGA - lequel prévoit en son alinéa 2 qu’il n’y a pas incapacité de gain si celle-ci est objectivement surmontable - ne sont pas remplies, la rente est réduite ou supprimée, même si les conditions de l'art. 17 al. 1 LPGA - relatif à la révision d’une rente suite à une modification notable du taux d’invalidité - ne sont pas remplies. L'al. 4 de la let. a précise que l'al. 1 ne s'applique pas aux personnes qui ont atteint 55 ans au moment de l'entrée en vigueur de ladite modification, ou qui touchent une rente de l'assurance-invalidité depuis plus de quinze ans au moment de l'ouverture de la procédure de réexamen. Le Tribunal fédéral a précisé les conditions auxquelles un réexamen du droit de la rente sur la base de la let. a al. 1 des dispositions finales pouvait avoir lieu (cf. notamment arrêt 9C_748/2013 du 10 février 2014 ou encore 8C_972/2012 du 31 octobre 2013 consid. 10, destiné à la publication).</w:t>
      </w:r>
    </w:p>
    <w:p>
      <w:r>
        <w:t>A/87/2015 - 10/11 - Ainsi, il n'est pas nécessaire qu'une modification notable de l'état de santé au sens de l'art. 17 LPGA soit intervenue. En outre, la rente d'invalidité versée jusqu'alors doit avoir été accordée uniquement ("ausschliesslich") en raison d'un syndrome sans pathogenèse ni étiologie claires et sans constat de déficit organique, au nombre desquels on compte la fibromyalgie (ATF 132 V 65). Au moment de la révision, seul ce diagnostic doit subsister; il convient également d'examiner si l'état de santé s'est dégradé. Enfin, il faut vérifier si les «critères de Foerster» sont remplis et s'ils permettent de conclure au caractère invalidant du trouble somatoforme douloureux. En l’occurrence, la recourante, au moment de la décision initiale d'octroi de la demi-rente, présentait une fibromyalgie, une probable épicondylite du coude gauche et un état dépressif dont la gravité n’était pas avérée (non qualifié par le médecin traitant, de gravité moyenne selon l’expert F______ du CEMed et inexistant selon le Dr C______). Etaient également évoqués par les experts du CEMed une personnalité émotionnellement labile, de discrets troubles statiques rachidiens et une suspicion de syndrome du tunnel carpien, dont ils ont considéré qu’ils étaient sans incidence sur la capacité de travail hormis qu’il fallait éviter le soulèvement répétitif de charges de plus de 15kg. Force est donc de constater que c’est bel et bien uniquement la fibromyalgie qui a justifié l’octroi d’une demi-rente d’invalidité. Par ailleurs, lors de la procédure de révision entamée fin 2012, le médecin traitant a qualifié l’état de sa patiente de stationnaire. Le psychiatre traitant a en revanche fait état d’une aggravation du trouble de l’humeur, qualifié désormais de « sévère », ce que n’ont pas corroboré les experts du CEMed, qui, eux, l’ont qualifié de «léger ». S’ils ont certes retenu d’autres diagnostics que celui de trouble somatoforme douloureux, ils les ont jugés sans incidence sur la capacité de travail de l’intéressée. De ces éléments, s’il ressort que la recourante souffre encore, en sus d'une fibromyalgie, d’une rachialgie chronique et, éventuellement, d’angoisse, ces atteintes ne sont pas considérées par les experts comme susceptibles d’entrainer une diminution de la capacité de travail et donc de gain. Dès lors, il semble, prima facie, que les conditions des dispositions finales sont en l'occurrence bel et bien remplies, ce qu’il conviendra de confirmer ou non par un examen plus approfondi des rapports médicaux versés au dossier. En d’autres termes, les chances de succès de la recourante ne revêtent pas un caractère suffisamment certain pour être prises ici en considération, d’autant que, par ailleurs, la recourante a refusé d’être mise au bénéfice des mesures de réadaptation qu’elle reproche aujourd’hui à l’intimé de ne pas lui avoir accordé. Eu égard aux considérations qui précèdent, la demande de restitution de l'effet suspensif est rejetée.</w:t>
      </w:r>
    </w:p>
    <w:p>
      <w:r>
        <w:t>A/87/2015 - 11/11 -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